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0"/>
          <w:szCs w:val="4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8"/>
          <w:szCs w:val="48"/>
          <w:highlight w:val="none"/>
          <w:lang w:val="en-US" w:eastAsia="zh-CN"/>
        </w:rPr>
      </w:pPr>
      <w:r>
        <w:rPr>
          <w:rFonts w:hint="eastAsia" w:ascii="仿宋" w:hAnsi="仿宋" w:eastAsia="仿宋" w:cs="仿宋"/>
          <w:b/>
          <w:bCs/>
          <w:color w:val="auto"/>
          <w:sz w:val="48"/>
          <w:szCs w:val="48"/>
          <w:highlight w:val="none"/>
          <w:lang w:val="en-US" w:eastAsia="zh-CN"/>
        </w:rPr>
        <w:t>阿图什市街道办事处社区卫生服务中心项目设备采购项目（2包）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default" w:ascii="仿宋" w:hAnsi="仿宋" w:eastAsia="仿宋" w:cs="仿宋"/>
          <w:b/>
          <w:color w:val="auto"/>
          <w:kern w:val="0"/>
          <w:sz w:val="40"/>
          <w:szCs w:val="40"/>
          <w:highlight w:val="none"/>
          <w:lang w:val="en-US"/>
        </w:rPr>
      </w:pPr>
      <w:r>
        <w:rPr>
          <w:rFonts w:hint="eastAsia" w:ascii="仿宋" w:hAnsi="仿宋" w:eastAsia="仿宋" w:cs="仿宋"/>
          <w:b/>
          <w:bCs/>
          <w:color w:val="auto"/>
          <w:sz w:val="40"/>
          <w:szCs w:val="40"/>
          <w:highlight w:val="none"/>
          <w:lang w:eastAsia="zh-CN"/>
        </w:rPr>
        <w:t>项目编号：ATSSJYZX-2022</w:t>
      </w:r>
      <w:r>
        <w:rPr>
          <w:rFonts w:hint="eastAsia" w:ascii="仿宋" w:hAnsi="仿宋" w:eastAsia="仿宋" w:cs="仿宋"/>
          <w:b/>
          <w:bCs/>
          <w:color w:val="auto"/>
          <w:sz w:val="40"/>
          <w:szCs w:val="40"/>
          <w:highlight w:val="none"/>
          <w:lang w:val="en-US" w:eastAsia="zh-CN"/>
        </w:rPr>
        <w:t>082-2</w:t>
      </w:r>
    </w:p>
    <w:p>
      <w:pPr>
        <w:pStyle w:val="2"/>
        <w:keepNext w:val="0"/>
        <w:keepLines w:val="0"/>
        <w:pageBreakBefore w:val="0"/>
        <w:widowControl w:val="0"/>
        <w:kinsoku/>
        <w:wordWrap/>
        <w:overflowPunct/>
        <w:topLinePunct w:val="0"/>
        <w:bidi w:val="0"/>
        <w:snapToGrid/>
        <w:spacing w:line="760" w:lineRule="exact"/>
        <w:textAlignment w:val="auto"/>
        <w:outlineLvl w:val="9"/>
        <w:rPr>
          <w:rFonts w:hint="eastAsia" w:ascii="仿宋" w:hAnsi="仿宋" w:eastAsia="仿宋" w:cs="仿宋"/>
          <w:color w:val="auto"/>
          <w:highlight w:val="none"/>
        </w:rPr>
      </w:pPr>
    </w:p>
    <w:p>
      <w:pPr>
        <w:pStyle w:val="2"/>
        <w:outlineLvl w:val="9"/>
        <w:rPr>
          <w:rFonts w:hint="eastAsia" w:ascii="仿宋" w:hAnsi="仿宋" w:eastAsia="仿宋" w:cs="仿宋"/>
          <w:color w:val="auto"/>
          <w:highlight w:val="none"/>
        </w:rPr>
      </w:pPr>
    </w:p>
    <w:p>
      <w:pPr>
        <w:pStyle w:val="2"/>
        <w:jc w:val="center"/>
        <w:outlineLvl w:val="9"/>
        <w:rPr>
          <w:rFonts w:hint="eastAsia" w:ascii="仿宋" w:hAnsi="仿宋" w:eastAsia="仿宋" w:cs="仿宋"/>
          <w:b/>
          <w:color w:val="auto"/>
          <w:sz w:val="96"/>
          <w:szCs w:val="96"/>
          <w:highlight w:val="none"/>
          <w:lang w:eastAsia="zh-CN"/>
        </w:rPr>
      </w:pPr>
      <w:r>
        <w:rPr>
          <w:rFonts w:hint="eastAsia" w:ascii="仿宋" w:hAnsi="仿宋" w:eastAsia="仿宋" w:cs="仿宋"/>
          <w:b/>
          <w:color w:val="auto"/>
          <w:sz w:val="96"/>
          <w:szCs w:val="96"/>
          <w:highlight w:val="none"/>
          <w:lang w:eastAsia="zh-CN"/>
        </w:rPr>
        <w:t>招</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color w:val="auto"/>
          <w:sz w:val="96"/>
          <w:szCs w:val="96"/>
          <w:highlight w:val="none"/>
          <w:lang w:eastAsia="zh-CN"/>
        </w:rPr>
        <w:t>标</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bCs/>
          <w:color w:val="auto"/>
          <w:sz w:val="96"/>
          <w:szCs w:val="96"/>
          <w:highlight w:val="none"/>
          <w:lang w:eastAsia="zh-CN"/>
        </w:rPr>
        <w:t>文</w:t>
      </w:r>
    </w:p>
    <w:p>
      <w:pPr>
        <w:pStyle w:val="2"/>
        <w:jc w:val="center"/>
        <w:outlineLvl w:val="9"/>
        <w:rPr>
          <w:rFonts w:hint="eastAsia" w:ascii="仿宋" w:hAnsi="仿宋" w:eastAsia="仿宋" w:cs="仿宋"/>
          <w:color w:val="auto"/>
          <w:sz w:val="84"/>
          <w:szCs w:val="84"/>
          <w:highlight w:val="none"/>
          <w:lang w:eastAsia="zh-CN"/>
        </w:rPr>
      </w:pPr>
      <w:r>
        <w:rPr>
          <w:rFonts w:hint="eastAsia" w:ascii="仿宋" w:hAnsi="仿宋" w:eastAsia="仿宋" w:cs="仿宋"/>
          <w:b/>
          <w:bCs/>
          <w:color w:val="auto"/>
          <w:sz w:val="96"/>
          <w:szCs w:val="96"/>
          <w:highlight w:val="none"/>
          <w:lang w:eastAsia="zh-CN"/>
        </w:rPr>
        <w:t>件</w:t>
      </w:r>
    </w:p>
    <w:p>
      <w:pPr>
        <w:pStyle w:val="2"/>
        <w:outlineLvl w:val="9"/>
        <w:rPr>
          <w:rFonts w:hint="eastAsia" w:ascii="仿宋" w:hAnsi="仿宋" w:eastAsia="仿宋" w:cs="仿宋"/>
          <w:color w:val="auto"/>
          <w:highlight w:val="none"/>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采购单位：</w:t>
      </w:r>
      <w:r>
        <w:rPr>
          <w:rFonts w:hint="eastAsia" w:ascii="仿宋" w:hAnsi="仿宋" w:eastAsia="仿宋" w:cs="仿宋"/>
          <w:color w:val="auto"/>
          <w:sz w:val="36"/>
          <w:szCs w:val="36"/>
          <w:highlight w:val="none"/>
          <w:lang w:eastAsia="zh-CN"/>
        </w:rPr>
        <w:t>阿图什市卫生健康委员会</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 系 人：胡先生</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联系电话：13345373958</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代理机构：</w:t>
      </w:r>
      <w:r>
        <w:rPr>
          <w:rFonts w:hint="eastAsia" w:ascii="仿宋" w:hAnsi="仿宋" w:eastAsia="仿宋" w:cs="仿宋"/>
          <w:color w:val="auto"/>
          <w:sz w:val="36"/>
          <w:szCs w:val="36"/>
          <w:highlight w:val="none"/>
          <w:lang w:eastAsia="zh-CN"/>
        </w:rPr>
        <w:t>新疆天勤工程管理有限公司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联 系 人：</w:t>
      </w:r>
      <w:r>
        <w:rPr>
          <w:rFonts w:hint="eastAsia" w:ascii="仿宋" w:hAnsi="仿宋" w:eastAsia="仿宋" w:cs="仿宋"/>
          <w:color w:val="auto"/>
          <w:sz w:val="36"/>
          <w:szCs w:val="36"/>
          <w:highlight w:val="none"/>
          <w:lang w:val="en-US" w:eastAsia="zh-CN"/>
        </w:rPr>
        <w:t>王</w:t>
      </w:r>
      <w:r>
        <w:rPr>
          <w:rFonts w:hint="eastAsia" w:ascii="仿宋" w:hAnsi="仿宋" w:eastAsia="仿宋" w:cs="仿宋"/>
          <w:color w:val="auto"/>
          <w:sz w:val="36"/>
          <w:szCs w:val="36"/>
          <w:highlight w:val="none"/>
          <w:lang w:eastAsia="zh-CN"/>
        </w:rPr>
        <w:t>先生</w:t>
      </w:r>
    </w:p>
    <w:p>
      <w:pPr>
        <w:ind w:firstLine="360" w:firstLineChars="100"/>
        <w:jc w:val="both"/>
        <w:outlineLvl w:val="9"/>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lang w:val="en-US" w:eastAsia="zh-CN"/>
        </w:rPr>
        <w:t>联系电话：13779615026</w:t>
      </w:r>
    </w:p>
    <w:p>
      <w:pPr>
        <w:jc w:val="center"/>
        <w:outlineLvl w:val="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招投标监督管理机构备案登记栏</w:t>
      </w:r>
    </w:p>
    <w:tbl>
      <w:tblPr>
        <w:tblStyle w:val="25"/>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854" w:type="dxa"/>
          </w:tcPr>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w w:val="95"/>
                <w:sz w:val="32"/>
                <w:szCs w:val="32"/>
                <w:highlight w:val="none"/>
                <w:lang w:val="en-US" w:eastAsia="zh-CN"/>
              </w:rPr>
            </w:pPr>
            <w:r>
              <w:rPr>
                <w:rFonts w:hint="eastAsia" w:ascii="仿宋" w:hAnsi="仿宋" w:eastAsia="仿宋" w:cs="仿宋"/>
                <w:color w:val="auto"/>
                <w:sz w:val="32"/>
                <w:szCs w:val="32"/>
                <w:highlight w:val="none"/>
              </w:rPr>
              <w:t>采购单位：</w:t>
            </w:r>
            <w:r>
              <w:rPr>
                <w:rFonts w:hint="eastAsia" w:ascii="仿宋" w:hAnsi="仿宋" w:eastAsia="仿宋" w:cs="仿宋"/>
                <w:color w:val="auto"/>
                <w:sz w:val="32"/>
                <w:szCs w:val="32"/>
                <w:highlight w:val="none"/>
                <w:lang w:val="en-US" w:eastAsia="zh-CN"/>
              </w:rPr>
              <w:t xml:space="preserve">阿图什市卫生健康委员会  </w:t>
            </w:r>
            <w:r>
              <w:rPr>
                <w:rFonts w:hint="eastAsia" w:ascii="仿宋" w:hAnsi="仿宋" w:eastAsia="仿宋" w:cs="仿宋"/>
                <w:color w:val="auto"/>
                <w:w w:val="95"/>
                <w:sz w:val="32"/>
                <w:szCs w:val="32"/>
                <w:highlight w:val="none"/>
                <w:lang w:eastAsia="zh-CN"/>
              </w:rPr>
              <w:t>（盖章）</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r>
              <w:rPr>
                <w:rFonts w:hint="eastAsia" w:ascii="仿宋" w:hAnsi="仿宋" w:eastAsia="仿宋" w:cs="仿宋"/>
                <w:color w:val="auto"/>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项目名称：</w:t>
            </w:r>
            <w:r>
              <w:rPr>
                <w:rFonts w:hint="eastAsia" w:ascii="仿宋" w:hAnsi="仿宋" w:eastAsia="仿宋" w:cs="仿宋"/>
                <w:color w:val="auto"/>
                <w:sz w:val="32"/>
                <w:szCs w:val="32"/>
                <w:highlight w:val="none"/>
                <w:lang w:val="en-US" w:eastAsia="zh-CN"/>
              </w:rPr>
              <w:t>阿图什市街道办事处社区卫生服务中心项目设备采购项目（2包）</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代理机构：</w:t>
            </w:r>
            <w:r>
              <w:rPr>
                <w:rFonts w:hint="eastAsia" w:ascii="仿宋" w:hAnsi="仿宋" w:eastAsia="仿宋" w:cs="仿宋"/>
                <w:color w:val="auto"/>
                <w:sz w:val="32"/>
                <w:szCs w:val="32"/>
                <w:highlight w:val="none"/>
                <w:lang w:eastAsia="zh-CN"/>
              </w:rPr>
              <w:t>新疆天勤工程管理有限公司（盖章）</w:t>
            </w: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日  期：20</w:t>
            </w:r>
            <w:r>
              <w:rPr>
                <w:rFonts w:hint="eastAsia" w:ascii="仿宋" w:hAnsi="仿宋" w:eastAsia="仿宋" w:cs="仿宋"/>
                <w:color w:val="auto"/>
                <w:highlight w:val="none"/>
                <w:lang w:val="en-US" w:eastAsia="zh-CN"/>
              </w:rPr>
              <w:t>22</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月</w:t>
            </w:r>
          </w:p>
          <w:p>
            <w:pPr>
              <w:outlineLvl w:val="9"/>
              <w:rPr>
                <w:rFonts w:hint="eastAsia" w:ascii="仿宋" w:hAnsi="仿宋" w:eastAsia="仿宋" w:cs="仿宋"/>
                <w:color w:val="auto"/>
                <w:highlight w:val="none"/>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rPr>
          <w:rFonts w:hint="eastAsia" w:ascii="仿宋" w:hAnsi="仿宋" w:eastAsia="仿宋" w:cs="仿宋"/>
          <w:b/>
          <w:bCs/>
          <w:color w:val="auto"/>
          <w:sz w:val="44"/>
          <w:szCs w:val="44"/>
          <w:highlight w:val="none"/>
          <w:lang w:val="zh-CN"/>
        </w:rPr>
      </w:pPr>
    </w:p>
    <w:sdt>
      <w:sdtPr>
        <w:rPr>
          <w:rFonts w:ascii="宋体" w:hAnsi="宋体" w:eastAsia="宋体" w:cs="Times New Roman"/>
          <w:b/>
          <w:bCs/>
          <w:color w:val="000000"/>
          <w:spacing w:val="0"/>
          <w:w w:val="100"/>
          <w:position w:val="0"/>
          <w:sz w:val="21"/>
          <w:szCs w:val="24"/>
          <w:highlight w:val="none"/>
          <w:shd w:val="clear" w:color="auto" w:fill="auto"/>
          <w:lang w:val="en-US" w:eastAsia="en-US" w:bidi="en-US"/>
        </w:rPr>
        <w:id w:val="147477967"/>
        <w15:color w:val="DBDBDB"/>
        <w:docPartObj>
          <w:docPartGallery w:val="Table of Contents"/>
          <w:docPartUnique/>
        </w:docPartObj>
      </w:sdtPr>
      <w:sdtEndPr>
        <w:rPr>
          <w:rFonts w:hint="eastAsia" w:ascii="仿宋" w:hAnsi="仿宋" w:eastAsia="仿宋" w:cs="仿宋"/>
          <w:b/>
          <w:bCs/>
          <w:color w:val="auto"/>
          <w:spacing w:val="0"/>
          <w:w w:val="100"/>
          <w:position w:val="0"/>
          <w:sz w:val="24"/>
          <w:szCs w:val="30"/>
          <w:highlight w:val="none"/>
          <w:shd w:val="clear" w:color="auto" w:fill="auto"/>
          <w:lang w:val="en-US" w:eastAsia="en-US" w:bidi="en-US"/>
        </w:rPr>
      </w:sdtEndPr>
      <w:sdtContent>
        <w:p>
          <w:pPr>
            <w:spacing w:before="0" w:beforeLines="0" w:after="0" w:afterLines="0" w:line="240" w:lineRule="auto"/>
            <w:ind w:left="0" w:leftChars="0" w:right="0" w:rightChars="0" w:firstLine="0" w:firstLineChars="0"/>
            <w:jc w:val="center"/>
            <w:rPr>
              <w:rFonts w:ascii="宋体" w:hAnsi="宋体" w:eastAsia="宋体"/>
              <w:b/>
              <w:bCs/>
              <w:sz w:val="40"/>
              <w:szCs w:val="48"/>
              <w:highlight w:val="none"/>
            </w:rPr>
          </w:pPr>
          <w:r>
            <w:rPr>
              <w:rFonts w:ascii="宋体" w:hAnsi="宋体" w:eastAsia="宋体"/>
              <w:b/>
              <w:bCs/>
              <w:sz w:val="40"/>
              <w:szCs w:val="48"/>
              <w:highlight w:val="none"/>
            </w:rPr>
            <w:t>目</w:t>
          </w:r>
          <w:r>
            <w:rPr>
              <w:rFonts w:hint="eastAsia" w:ascii="宋体" w:hAnsi="宋体" w:eastAsia="宋体"/>
              <w:b/>
              <w:bCs/>
              <w:sz w:val="40"/>
              <w:szCs w:val="48"/>
              <w:highlight w:val="none"/>
              <w:lang w:val="en-US" w:eastAsia="zh-CN"/>
            </w:rPr>
            <w:t xml:space="preserve">  </w:t>
          </w:r>
          <w:r>
            <w:rPr>
              <w:rFonts w:ascii="宋体" w:hAnsi="宋体" w:eastAsia="宋体"/>
              <w:b/>
              <w:bCs/>
              <w:sz w:val="40"/>
              <w:szCs w:val="48"/>
              <w:highlight w:val="none"/>
            </w:rPr>
            <w:t>录</w:t>
          </w:r>
        </w:p>
        <w:p>
          <w:pPr>
            <w:pStyle w:val="2"/>
            <w:rPr>
              <w:rFonts w:ascii="宋体" w:hAnsi="宋体" w:eastAsia="宋体"/>
              <w:sz w:val="40"/>
              <w:szCs w:val="48"/>
              <w:highlight w:val="none"/>
            </w:rPr>
          </w:pPr>
        </w:p>
        <w:p>
          <w:pPr>
            <w:pStyle w:val="2"/>
            <w:rPr>
              <w:rFonts w:ascii="宋体" w:hAnsi="宋体" w:eastAsia="宋体"/>
              <w:sz w:val="40"/>
              <w:szCs w:val="48"/>
              <w:highlight w:val="none"/>
            </w:rPr>
          </w:pP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TOC \o "1-3" \h \u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_Toc28070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第一部分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_Toc28070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_Toc29207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第二部分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供应商须知</w:t>
          </w:r>
          <w:r>
            <w:rPr>
              <w:sz w:val="24"/>
              <w:szCs w:val="24"/>
              <w:highlight w:val="none"/>
            </w:rPr>
            <w:tab/>
          </w:r>
          <w:r>
            <w:rPr>
              <w:sz w:val="24"/>
              <w:szCs w:val="24"/>
              <w:highlight w:val="none"/>
            </w:rPr>
            <w:fldChar w:fldCharType="begin"/>
          </w:r>
          <w:r>
            <w:rPr>
              <w:sz w:val="24"/>
              <w:szCs w:val="24"/>
              <w:highlight w:val="none"/>
            </w:rPr>
            <w:instrText xml:space="preserve"> PAGEREF _Toc29207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_Toc6150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28"/>
              <w:highlight w:val="none"/>
            </w:rPr>
            <w:t>第三</w:t>
          </w:r>
          <w:r>
            <w:rPr>
              <w:rFonts w:hint="eastAsia" w:ascii="仿宋" w:hAnsi="仿宋" w:eastAsia="仿宋" w:cs="仿宋"/>
              <w:bCs/>
              <w:sz w:val="24"/>
              <w:szCs w:val="28"/>
              <w:highlight w:val="none"/>
              <w:lang w:val="en-US" w:eastAsia="zh-CN"/>
            </w:rPr>
            <w:t>部分</w:t>
          </w:r>
          <w:r>
            <w:rPr>
              <w:rFonts w:hint="eastAsia" w:ascii="仿宋" w:hAnsi="仿宋" w:eastAsia="仿宋" w:cs="仿宋"/>
              <w:bCs/>
              <w:sz w:val="24"/>
              <w:szCs w:val="28"/>
              <w:highlight w:val="none"/>
            </w:rPr>
            <w:t xml:space="preserve">  评标办法</w:t>
          </w:r>
          <w:r>
            <w:rPr>
              <w:sz w:val="24"/>
              <w:szCs w:val="24"/>
              <w:highlight w:val="none"/>
            </w:rPr>
            <w:tab/>
          </w:r>
          <w:r>
            <w:rPr>
              <w:sz w:val="24"/>
              <w:szCs w:val="24"/>
              <w:highlight w:val="none"/>
            </w:rPr>
            <w:fldChar w:fldCharType="begin"/>
          </w:r>
          <w:r>
            <w:rPr>
              <w:sz w:val="24"/>
              <w:szCs w:val="24"/>
              <w:highlight w:val="none"/>
            </w:rPr>
            <w:instrText xml:space="preserve"> PAGEREF _Toc6150 \h </w:instrText>
          </w:r>
          <w:r>
            <w:rPr>
              <w:sz w:val="24"/>
              <w:szCs w:val="24"/>
              <w:highlight w:val="none"/>
            </w:rPr>
            <w:fldChar w:fldCharType="separate"/>
          </w:r>
          <w:r>
            <w:rPr>
              <w:sz w:val="24"/>
              <w:szCs w:val="24"/>
              <w:highlight w:val="none"/>
            </w:rPr>
            <w:t>40</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_Toc29986 </w:instrText>
          </w:r>
          <w:r>
            <w:rPr>
              <w:rFonts w:hint="eastAsia" w:ascii="仿宋" w:hAnsi="仿宋" w:eastAsia="仿宋" w:cs="仿宋"/>
              <w:sz w:val="24"/>
              <w:szCs w:val="32"/>
              <w:highlight w:val="none"/>
            </w:rPr>
            <w:fldChar w:fldCharType="separate"/>
          </w:r>
          <w:r>
            <w:rPr>
              <w:rFonts w:hint="eastAsia" w:ascii="仿宋" w:hAnsi="仿宋" w:eastAsia="仿宋" w:cs="仿宋"/>
              <w:sz w:val="24"/>
              <w:szCs w:val="28"/>
              <w:highlight w:val="none"/>
              <w:lang w:val="en-US" w:eastAsia="zh-CN"/>
            </w:rPr>
            <w:t xml:space="preserve">第四部分 </w:t>
          </w:r>
          <w:r>
            <w:rPr>
              <w:rFonts w:hint="eastAsia" w:ascii="仿宋" w:hAnsi="仿宋" w:eastAsia="仿宋" w:cs="仿宋"/>
              <w:sz w:val="24"/>
              <w:szCs w:val="28"/>
              <w:highlight w:val="none"/>
            </w:rPr>
            <w:t xml:space="preserve"> 技术规格、数量及质量要求</w:t>
          </w:r>
          <w:r>
            <w:rPr>
              <w:sz w:val="24"/>
              <w:szCs w:val="24"/>
              <w:highlight w:val="none"/>
            </w:rPr>
            <w:tab/>
          </w:r>
          <w:r>
            <w:rPr>
              <w:sz w:val="24"/>
              <w:szCs w:val="24"/>
              <w:highlight w:val="none"/>
            </w:rPr>
            <w:fldChar w:fldCharType="begin"/>
          </w:r>
          <w:r>
            <w:rPr>
              <w:sz w:val="24"/>
              <w:szCs w:val="24"/>
              <w:highlight w:val="none"/>
            </w:rPr>
            <w:instrText xml:space="preserve"> PAGEREF _Toc29986 \h </w:instrText>
          </w:r>
          <w:r>
            <w:rPr>
              <w:sz w:val="24"/>
              <w:szCs w:val="24"/>
              <w:highlight w:val="none"/>
            </w:rPr>
            <w:fldChar w:fldCharType="separate"/>
          </w:r>
          <w:r>
            <w:rPr>
              <w:sz w:val="24"/>
              <w:szCs w:val="24"/>
              <w:highlight w:val="none"/>
            </w:rPr>
            <w:t>48</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_Toc30467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36"/>
              <w:highlight w:val="none"/>
              <w:lang w:eastAsia="zh-CN"/>
            </w:rPr>
            <w:t>第五</w:t>
          </w:r>
          <w:r>
            <w:rPr>
              <w:rFonts w:hint="eastAsia" w:ascii="仿宋" w:hAnsi="仿宋" w:eastAsia="仿宋" w:cs="仿宋"/>
              <w:bCs/>
              <w:sz w:val="24"/>
              <w:szCs w:val="36"/>
              <w:highlight w:val="none"/>
              <w:lang w:val="en-US" w:eastAsia="zh-CN"/>
            </w:rPr>
            <w:t xml:space="preserve">部分 </w:t>
          </w:r>
          <w:r>
            <w:rPr>
              <w:rFonts w:hint="eastAsia" w:ascii="仿宋" w:hAnsi="仿宋" w:eastAsia="仿宋" w:cs="仿宋"/>
              <w:bCs/>
              <w:sz w:val="24"/>
              <w:szCs w:val="36"/>
              <w:highlight w:val="none"/>
            </w:rPr>
            <w:t>合同条款及格式</w:t>
          </w:r>
          <w:r>
            <w:rPr>
              <w:sz w:val="24"/>
              <w:szCs w:val="24"/>
              <w:highlight w:val="none"/>
            </w:rPr>
            <w:tab/>
          </w:r>
          <w:r>
            <w:rPr>
              <w:sz w:val="24"/>
              <w:szCs w:val="24"/>
              <w:highlight w:val="none"/>
            </w:rPr>
            <w:fldChar w:fldCharType="begin"/>
          </w:r>
          <w:r>
            <w:rPr>
              <w:sz w:val="24"/>
              <w:szCs w:val="24"/>
              <w:highlight w:val="none"/>
            </w:rPr>
            <w:instrText xml:space="preserve"> PAGEREF _Toc30467 \h </w:instrText>
          </w:r>
          <w:r>
            <w:rPr>
              <w:sz w:val="24"/>
              <w:szCs w:val="24"/>
              <w:highlight w:val="none"/>
            </w:rPr>
            <w:fldChar w:fldCharType="separate"/>
          </w:r>
          <w:r>
            <w:rPr>
              <w:sz w:val="24"/>
              <w:szCs w:val="24"/>
              <w:highlight w:val="none"/>
            </w:rPr>
            <w:t>59</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_Toc21488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w:t>
          </w:r>
          <w:r>
            <w:rPr>
              <w:rFonts w:hint="eastAsia" w:ascii="仿宋" w:hAnsi="仿宋" w:eastAsia="仿宋" w:cs="仿宋"/>
              <w:bCs/>
              <w:spacing w:val="0"/>
              <w:w w:val="100"/>
              <w:position w:val="0"/>
              <w:sz w:val="24"/>
              <w:szCs w:val="36"/>
              <w:highlight w:val="none"/>
              <w:lang w:eastAsia="zh-CN"/>
            </w:rPr>
            <w:t>六</w:t>
          </w:r>
          <w:r>
            <w:rPr>
              <w:rFonts w:hint="eastAsia" w:ascii="仿宋" w:hAnsi="仿宋" w:eastAsia="仿宋" w:cs="仿宋"/>
              <w:bCs/>
              <w:spacing w:val="0"/>
              <w:w w:val="100"/>
              <w:position w:val="0"/>
              <w:sz w:val="24"/>
              <w:szCs w:val="36"/>
              <w:highlight w:val="none"/>
            </w:rPr>
            <w:t>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_Toc21488 \h </w:instrText>
          </w:r>
          <w:r>
            <w:rPr>
              <w:sz w:val="24"/>
              <w:szCs w:val="24"/>
              <w:highlight w:val="none"/>
            </w:rPr>
            <w:fldChar w:fldCharType="separate"/>
          </w:r>
          <w:r>
            <w:rPr>
              <w:sz w:val="24"/>
              <w:szCs w:val="24"/>
              <w:highlight w:val="none"/>
            </w:rPr>
            <w:t>66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tabs>
              <w:tab w:val="right" w:leader="hyphen" w:pos="9746"/>
            </w:tabs>
            <w:rPr>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outlineLvl w:val="9"/>
            <w:rPr>
              <w:rFonts w:hint="eastAsia" w:ascii="仿宋" w:hAnsi="仿宋" w:eastAsia="仿宋" w:cs="仿宋"/>
              <w:color w:val="auto"/>
              <w:sz w:val="30"/>
              <w:szCs w:val="30"/>
              <w:highlight w:val="none"/>
            </w:rPr>
          </w:pPr>
          <w:r>
            <w:rPr>
              <w:rFonts w:hint="eastAsia" w:ascii="仿宋" w:hAnsi="仿宋" w:eastAsia="仿宋" w:cs="仿宋"/>
              <w:color w:val="auto"/>
              <w:szCs w:val="32"/>
              <w:highlight w:val="none"/>
            </w:rPr>
            <w:fldChar w:fldCharType="end"/>
          </w:r>
        </w:p>
      </w:sdtContent>
    </w:sdt>
    <w:p>
      <w:pPr>
        <w:pStyle w:val="9"/>
        <w:numPr>
          <w:ilvl w:val="0"/>
          <w:numId w:val="0"/>
        </w:numPr>
        <w:ind w:leftChars="0" w:right="0" w:rightChars="0"/>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lang w:val="en-US" w:eastAsia="zh-CN"/>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pStyle w:val="34"/>
        <w:keepNext/>
        <w:keepLines/>
        <w:widowControl w:val="0"/>
        <w:shd w:val="clear" w:color="auto" w:fill="auto"/>
        <w:bidi w:val="0"/>
        <w:spacing w:before="120" w:after="300" w:line="240" w:lineRule="auto"/>
        <w:ind w:left="0" w:right="0" w:firstLine="0"/>
        <w:jc w:val="center"/>
        <w:outlineLvl w:val="9"/>
        <w:rPr>
          <w:rFonts w:hint="eastAsia" w:ascii="仿宋" w:hAnsi="仿宋" w:eastAsia="仿宋" w:cs="仿宋"/>
          <w:b/>
          <w:bCs/>
          <w:color w:val="auto"/>
          <w:spacing w:val="0"/>
          <w:w w:val="100"/>
          <w:position w:val="0"/>
          <w:sz w:val="36"/>
          <w:szCs w:val="36"/>
          <w:highlight w:val="none"/>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34"/>
        <w:keepNext/>
        <w:keepLines/>
        <w:widowControl w:val="0"/>
        <w:shd w:val="clear" w:color="auto" w:fill="auto"/>
        <w:bidi w:val="0"/>
        <w:spacing w:before="120" w:after="300" w:line="240" w:lineRule="auto"/>
        <w:ind w:left="0" w:right="0" w:firstLine="0"/>
        <w:jc w:val="center"/>
        <w:outlineLvl w:val="0"/>
        <w:rPr>
          <w:rFonts w:hint="eastAsia" w:ascii="仿宋" w:hAnsi="仿宋" w:eastAsia="仿宋" w:cs="仿宋"/>
          <w:b/>
          <w:bCs/>
          <w:color w:val="auto"/>
          <w:sz w:val="36"/>
          <w:szCs w:val="36"/>
          <w:highlight w:val="none"/>
          <w:lang w:eastAsia="zh-CN"/>
        </w:rPr>
      </w:pPr>
      <w:bookmarkStart w:id="0" w:name="_Toc12194"/>
      <w:bookmarkStart w:id="1" w:name="_Toc10738"/>
      <w:bookmarkStart w:id="2" w:name="_Toc28070"/>
      <w:r>
        <w:rPr>
          <w:rFonts w:hint="eastAsia" w:ascii="仿宋" w:hAnsi="仿宋" w:eastAsia="仿宋" w:cs="仿宋"/>
          <w:b/>
          <w:bCs/>
          <w:color w:val="auto"/>
          <w:spacing w:val="0"/>
          <w:w w:val="100"/>
          <w:position w:val="0"/>
          <w:sz w:val="36"/>
          <w:szCs w:val="36"/>
          <w:highlight w:val="none"/>
        </w:rPr>
        <w:t>第一部分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lang w:eastAsia="zh-CN"/>
        </w:rPr>
        <w:t>招标公告</w:t>
      </w:r>
      <w:bookmarkEnd w:id="0"/>
      <w:bookmarkEnd w:id="1"/>
      <w:bookmarkEnd w:id="2"/>
    </w:p>
    <w:p>
      <w:pPr>
        <w:keepNext w:val="0"/>
        <w:keepLines w:val="0"/>
        <w:pageBreakBefore w:val="0"/>
        <w:shd w:val="clear" w:color="auto" w:fill="auto"/>
        <w:kinsoku/>
        <w:wordWrap/>
        <w:overflowPunct/>
        <w:topLinePunct w:val="0"/>
        <w:autoSpaceDE/>
        <w:autoSpaceDN/>
        <w:bidi w:val="0"/>
        <w:adjustRightInd w:val="0"/>
        <w:spacing w:line="120" w:lineRule="auto"/>
        <w:jc w:val="center"/>
        <w:rPr>
          <w:rFonts w:hint="eastAsia" w:ascii="仿宋" w:hAnsi="仿宋" w:eastAsia="仿宋" w:cs="仿宋"/>
          <w:b/>
          <w:color w:val="000000"/>
          <w:sz w:val="28"/>
          <w:szCs w:val="28"/>
          <w:highlight w:val="none"/>
          <w:shd w:val="clear" w:color="auto" w:fill="FFFFFF"/>
        </w:rPr>
      </w:pPr>
      <w:bookmarkStart w:id="3" w:name="_Toc35393789"/>
      <w:bookmarkStart w:id="4" w:name="_Toc28359001"/>
      <w:bookmarkStart w:id="5" w:name="_Toc29207"/>
      <w:bookmarkStart w:id="6" w:name="_Toc7317"/>
      <w:bookmarkStart w:id="7" w:name="_Toc20056"/>
      <w:r>
        <w:rPr>
          <w:rFonts w:hint="eastAsia" w:ascii="仿宋" w:hAnsi="仿宋" w:eastAsia="仿宋" w:cs="仿宋"/>
          <w:b/>
          <w:color w:val="000000"/>
          <w:sz w:val="28"/>
          <w:szCs w:val="28"/>
          <w:highlight w:val="none"/>
          <w:shd w:val="clear" w:color="auto" w:fill="FFFFFF"/>
          <w:lang w:val="en-US" w:eastAsia="zh-CN"/>
        </w:rPr>
        <w:t>阿图什市街道办事处社区卫生服务中心项目设备采购项目</w:t>
      </w:r>
      <w:r>
        <w:rPr>
          <w:rFonts w:hint="eastAsia" w:ascii="仿宋" w:hAnsi="仿宋" w:eastAsia="仿宋" w:cs="仿宋"/>
          <w:b/>
          <w:color w:val="000000"/>
          <w:sz w:val="28"/>
          <w:szCs w:val="28"/>
          <w:highlight w:val="none"/>
          <w:shd w:val="clear" w:color="auto" w:fill="FFFFFF"/>
        </w:rPr>
        <w:t>公开招标公告</w:t>
      </w:r>
      <w:bookmarkEnd w:id="3"/>
      <w:bookmarkEnd w:id="4"/>
    </w:p>
    <w:p>
      <w:pPr>
        <w:pStyle w:val="31"/>
        <w:keepNext w:val="0"/>
        <w:keepLines w:val="0"/>
        <w:pageBreakBefore w:val="0"/>
        <w:shd w:val="clear" w:color="auto" w:fill="auto"/>
        <w:kinsoku/>
        <w:wordWrap/>
        <w:overflowPunct/>
        <w:topLinePunct w:val="0"/>
        <w:autoSpaceDE/>
        <w:autoSpaceDN/>
        <w:bidi w:val="0"/>
        <w:spacing w:line="120" w:lineRule="auto"/>
        <w:rPr>
          <w:rFonts w:hint="eastAsia" w:ascii="宋体" w:hAnsi="宋体" w:eastAsia="宋体" w:cs="宋体"/>
          <w:color w:val="000000"/>
          <w:sz w:val="18"/>
          <w:szCs w:val="18"/>
          <w:highlight w:val="none"/>
        </w:rPr>
      </w:pP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项目概况</w:t>
      </w: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ind w:firstLine="480" w:firstLineChars="200"/>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阿图什市街道办事处社区卫生服务中心项目设备采购项目招标项目的潜在投标人应在供应商登陆政采云平台http://www.zcygov.cn/，在线申请获取招标文件（登录政府采购云平台 → 项目采购 → 获取招标文件→申请，审核通过后可下载招标文件，如有操作性问题，可与政采云在线客服进行咨询，咨询电话：400-881-7190）。获取招标文件，并于2022年10月31日 10:30（北京时间）前递交投标文件。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一、项目基本情况</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预算金额（元）：19587800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最高限价（元）：5567400,4686300，4624100，4710000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标项一:</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标项名称:阿图什市街道办事处社区卫生服务中心项目设备采购项目（1包）</w:t>
      </w:r>
    </w:p>
    <w:p>
      <w:pPr>
        <w:pStyle w:val="2"/>
        <w:rPr>
          <w:rFonts w:hint="default" w:ascii="仿宋" w:hAnsi="仿宋" w:eastAsia="仿宋" w:cs="仿宋"/>
          <w:color w:val="auto"/>
          <w:sz w:val="24"/>
          <w:szCs w:val="24"/>
          <w:highlight w:val="none"/>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预算金额（元）:5567400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数字DR机、DR辐射检测仪、彩色超声波检测仪、离心机、负压吸痰器、空气消毒机、除颤仪、心电检测仪、1000L冷藏柜、红外线体温测量仪、治疗床、口腔综合治疗椅(含正负压器)、五官科检测套装、高压灭菌消毒设施、十二导联心电图、外科套装急救箱、内科套装急救箱、白带检测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标项二:</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标项名称:阿图什市街道办事处社区卫生服务中心项目设备采购项目（2包）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 4686300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简要规格描述或项目基本概况介绍、用途：彩色超声波检测仪、五分类血常规仪、尿液分析仪、血红蛋白机、读卡机、操作台、扫描枪、胎心监测仪、制氧机；具体详见参数附件或招标文件。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标项三:</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标项名称:阿图什市街道办事处社区卫生服务中心项目设备采购项目（3包）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预算金额（元）:4624100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生化仪、动态血压仪、动态心电图、疫苗专用冰箱、足疗沙发、电脑中频治疗仪、红外光灸疗机（局部）、红外光灸疗机（全身）、深层肌肉刺激仪、艾灸移动吸烟机、蒸汽煎药机、盆腔治疗仪、中药雾化吸入机、牵引床、中药熏蒸调理舱、玉疗床、盐疗床、沙疗床、微波治疗仪、妇科治疗床、3D远红外养生仪、碧波庭养生仪、石熏烯量子太空舱、TDP(特定电磁波治疗器)、足疗仪、病床配套、超频正骨枪、电机筋膜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标项四:</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标项名称:阿图什市街道办事处社区卫生服务中心项目设备采购项目（4包）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简要规格描述或项目基本概况介绍、用途：身份证识别道闸、激光过包安检机、智慧疫苗接种数字系统、中央空调、电视机、电脑、打印、复印一体机、室外强力巨彩Q5大屏；具体详见参数附件或招标文件。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合同履约期限：标项 1、2、3、4，自合同签订之日起15天内完成供货。</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本项目（否）接受联合体投标。</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二、申请人的资格要求：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【标项1、2、3、4】</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（1）具备三证合一营业执照副本；</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三、获取招标文件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bookmarkStart w:id="133" w:name="_GoBack"/>
      <w:r>
        <w:rPr>
          <w:rFonts w:hint="eastAsia" w:ascii="仿宋" w:hAnsi="仿宋" w:eastAsia="仿宋" w:cs="仿宋"/>
          <w:color w:val="auto"/>
          <w:sz w:val="24"/>
          <w:szCs w:val="24"/>
          <w:highlight w:val="none"/>
          <w:lang w:val="en-US" w:eastAsia="zh-CN"/>
        </w:rPr>
        <w:t>时间：2022年 10月10日至2022年 10 月21日，每天上午10:00至14:00，下午16:00至19:30（北京时间，法定节假日除外）</w:t>
      </w:r>
    </w:p>
    <w:bookmarkEnd w:id="133"/>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方式：（1）线上获取（登录政府采购云平台 → 项目采购 → 获取招标文件→ 申请，审核通过后可下载招标文件）。本次招标不提供纸质版招标文件。（2）供应商获取招标文件前应注册成为政府采购云平台正式供应商。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售价（元）：0</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四、提交投标文件截止时间、开标时间和地点</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提交投标文件截止时间：2022年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投标地点：新疆政府采购云平台（www.zcygov.cn）</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开标地点：新疆政府采购云平台（www.zcygov.cn）</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五、公告期限</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自本公告发布之日起5个工作日。</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六、其他补充事宜</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7.为了保证开评标顺利进行，政采云线上开标功能完全实现，供应商开标所使用的电脑设备须具有视频及语音功能。</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申请获取采购文件前须上传的资格证明文件扫描件有：（1）具备三证合一营业执照副本；（2）法定代表人投标需提供法定代表人资格证明书，委托代理人投标需提供法定代表人授权委托书；（3）参加采购活动前三年内，在经营活动中没有重大违法记录，供应商须提供 “信用中国”网站（http://www.creditchina.gov.cn/）、“中国政府采购网”网站（http://www.ccgp.gov.cn）无违法违规行为的查询纪录（提供查询结果网页截图并加盖供应商公章）；（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5).需注明所投标段。</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特别提示：</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1、超过200万元的货物和服务采购项目、超过400万元的工程采购项目中适宜由中小企业提供的，预留该部分采购项目预算总额的40%以上专门面向中小企业采购，其中预留给小微企业的比例不低于60%。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七、对本次采购提出询问，请按以下方式联系</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1.采购人信息</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称：阿图什市卫生健康委员会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联系方式：13345373958</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2.采购代理机构信息</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址：克州阿图什市迎宾路80号三楼</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联系方式：13779615026</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3.项目联系方式</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项目联系人：王先生</w:t>
      </w:r>
    </w:p>
    <w:p>
      <w:pPr>
        <w:rPr>
          <w:rFonts w:hint="eastAsia" w:ascii="仿宋" w:hAnsi="仿宋" w:eastAsia="仿宋" w:cs="仿宋"/>
          <w:b/>
          <w:bCs/>
          <w:color w:val="auto"/>
          <w:spacing w:val="0"/>
          <w:w w:val="100"/>
          <w:position w:val="0"/>
          <w:sz w:val="36"/>
          <w:szCs w:val="36"/>
          <w:highlight w:val="none"/>
        </w:rPr>
      </w:pPr>
      <w:r>
        <w:rPr>
          <w:rFonts w:hint="eastAsia" w:ascii="仿宋" w:hAnsi="仿宋" w:eastAsia="仿宋" w:cs="仿宋"/>
          <w:color w:val="auto"/>
          <w:sz w:val="24"/>
          <w:szCs w:val="24"/>
          <w:highlight w:val="none"/>
          <w:lang w:val="en-US" w:eastAsia="zh-CN"/>
        </w:rPr>
        <w:t>电 话：13779615026</w:t>
      </w:r>
      <w:r>
        <w:rPr>
          <w:rFonts w:hint="eastAsia" w:ascii="仿宋" w:hAnsi="仿宋" w:eastAsia="仿宋" w:cs="仿宋"/>
          <w:b/>
          <w:bCs/>
          <w:color w:val="auto"/>
          <w:spacing w:val="0"/>
          <w:w w:val="100"/>
          <w:position w:val="0"/>
          <w:sz w:val="36"/>
          <w:szCs w:val="36"/>
          <w:highlight w:val="none"/>
        </w:rPr>
        <w:br w:type="page"/>
      </w:r>
    </w:p>
    <w:p>
      <w:pPr>
        <w:pStyle w:val="34"/>
        <w:keepNext/>
        <w:keepLines/>
        <w:pageBreakBefore w:val="0"/>
        <w:widowControl w:val="0"/>
        <w:shd w:val="clear" w:color="auto" w:fill="auto"/>
        <w:kinsoku/>
        <w:wordWrap/>
        <w:overflowPunct/>
        <w:topLinePunct w:val="0"/>
        <w:autoSpaceDE/>
        <w:autoSpaceDN/>
        <w:bidi w:val="0"/>
        <w:adjustRightInd/>
        <w:snapToGrid/>
        <w:spacing w:before="0" w:after="240" w:line="200" w:lineRule="atLeast"/>
        <w:ind w:left="0" w:right="0" w:firstLine="0"/>
        <w:jc w:val="center"/>
        <w:textAlignment w:val="auto"/>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pacing w:val="0"/>
          <w:w w:val="100"/>
          <w:position w:val="0"/>
          <w:sz w:val="36"/>
          <w:szCs w:val="36"/>
          <w:highlight w:val="none"/>
        </w:rPr>
        <w:t>第二部分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供应商须知</w:t>
      </w:r>
      <w:bookmarkEnd w:id="5"/>
      <w:bookmarkEnd w:id="6"/>
      <w:bookmarkEnd w:id="7"/>
    </w:p>
    <w:p>
      <w:pPr>
        <w:pStyle w:val="35"/>
        <w:keepNext w:val="0"/>
        <w:keepLines w:val="0"/>
        <w:pageBreakBefore w:val="0"/>
        <w:widowControl w:val="0"/>
        <w:shd w:val="clear" w:color="auto" w:fill="auto"/>
        <w:kinsoku/>
        <w:wordWrap/>
        <w:overflowPunct/>
        <w:topLinePunct w:val="0"/>
        <w:autoSpaceDE/>
        <w:autoSpaceDN/>
        <w:bidi w:val="0"/>
        <w:adjustRightInd/>
        <w:snapToGrid/>
        <w:spacing w:before="0" w:after="0" w:line="120" w:lineRule="auto"/>
        <w:ind w:right="0"/>
        <w:jc w:val="center"/>
        <w:textAlignment w:val="auto"/>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4"/>
          <w:szCs w:val="24"/>
          <w:highlight w:val="none"/>
          <w:lang w:eastAsia="zh-CN"/>
        </w:rPr>
        <w:t>供应商</w:t>
      </w:r>
      <w:r>
        <w:rPr>
          <w:rFonts w:hint="eastAsia" w:ascii="仿宋" w:hAnsi="仿宋" w:eastAsia="仿宋" w:cs="仿宋"/>
          <w:b/>
          <w:bCs/>
          <w:color w:val="auto"/>
          <w:spacing w:val="0"/>
          <w:w w:val="100"/>
          <w:position w:val="0"/>
          <w:sz w:val="24"/>
          <w:szCs w:val="24"/>
          <w:highlight w:val="none"/>
        </w:rPr>
        <w:t>须知前附表</w:t>
      </w:r>
    </w:p>
    <w:tbl>
      <w:tblPr>
        <w:tblStyle w:val="24"/>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720"/>
        <w:gridCol w:w="7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 号</w:t>
            </w:r>
          </w:p>
        </w:tc>
        <w:tc>
          <w:tcPr>
            <w:tcW w:w="172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名  称</w:t>
            </w:r>
          </w:p>
        </w:tc>
        <w:tc>
          <w:tcPr>
            <w:tcW w:w="790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1720" w:type="dxa"/>
            <w:noWrap w:val="0"/>
            <w:vAlign w:val="center"/>
          </w:tcPr>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项目编号</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采购内容</w:t>
            </w:r>
          </w:p>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w:t>
            </w: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项目名称：阿图什市街道办事处社区卫生服务中心项目设备采购项目（2包）</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项目编号：ATSSJYZX-2022082-2</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采购内容：彩色超声波检测仪、五分类血常规仪、尿液分析仪、血红蛋白机、读卡机、操作台、扫描枪、胎心监测仪、制氧机；具体详见参数附件或招标文件。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供货期：自合同签订之日起15天内完成供货。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采购人信息</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称：阿图什市卫生健康委员会</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联系人：胡先生       电  话：13345373958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采购代理机构</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地  址：克州阿图什市迎宾路80号三楼 </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联系人：王</w:t>
            </w:r>
            <w:r>
              <w:rPr>
                <w:rFonts w:hint="eastAsia" w:ascii="仿宋" w:hAnsi="仿宋" w:eastAsia="仿宋" w:cs="仿宋"/>
                <w:b w:val="0"/>
                <w:color w:val="auto"/>
                <w:kern w:val="2"/>
                <w:sz w:val="24"/>
                <w:szCs w:val="24"/>
                <w:highlight w:val="none"/>
                <w:lang w:val="en-US" w:eastAsia="zh-CN" w:bidi="ar-SA"/>
              </w:rPr>
              <w:t>先生</w:t>
            </w:r>
            <w:r>
              <w:rPr>
                <w:rFonts w:hint="eastAsia" w:ascii="仿宋" w:hAnsi="仿宋" w:eastAsia="仿宋" w:cs="仿宋"/>
                <w:b w:val="0"/>
                <w:bCs w:val="0"/>
                <w:color w:val="auto"/>
                <w:sz w:val="24"/>
                <w:szCs w:val="24"/>
                <w:highlight w:val="none"/>
                <w:lang w:val="en-US" w:eastAsia="zh-CN"/>
              </w:rPr>
              <w:t xml:space="preserve">       电  话：13779615026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最终交货地点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资格要求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（1）具备三证合一营业执照副本；</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（4）投标企业须提供投标人（被授权在职人员）近期社保证明</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5）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资金来源</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一般债券资金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招标方式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公开招标(本项目采用网上电子招投标)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供应商信用查询</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1、查询渠道：信用中国（网址：http://www.creditchina.gov.cn）、中国政府采购网(网址：http://www.ccgp.gov.cn）。</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2、截止时点：开标后评标前。</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3、信用信息查询记录和证据留存的具体方式：由采购组织机构在规定查询时间内打印信用信息查询记录并归入项目档案。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是否接受联合体投标</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■不接受</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□接  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 （开标时间）</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截止时间：2022年 10月 31 日10时30分（北京时间）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投标有效期</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60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政府采购投标保证金要求：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投标保证金交纳方式：投标保证金应当以支票、汇票、本票、网上银行支付或者金融机构、担保机构出具的保函等非现金形式交纳。</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投标保证金的金额：1包：78900元；2包；67800元；3包：67600元；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4包：56700元。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1、投标保证金以电汇、网银等转账形式提交的，应在投标截止时间2022年</w:t>
            </w:r>
            <w:r>
              <w:rPr>
                <w:rFonts w:hint="eastAsia" w:ascii="仿宋" w:hAnsi="仿宋" w:eastAsia="仿宋" w:cs="仿宋"/>
                <w:b w:val="0"/>
                <w:bCs w:val="0"/>
                <w:color w:val="auto"/>
                <w:sz w:val="24"/>
                <w:szCs w:val="24"/>
                <w:highlight w:val="none"/>
                <w:u w:val="single"/>
                <w:lang w:val="en-US" w:eastAsia="zh-CN"/>
              </w:rPr>
              <w:t xml:space="preserve">  10</w:t>
            </w:r>
            <w:r>
              <w:rPr>
                <w:rFonts w:hint="eastAsia" w:ascii="仿宋" w:hAnsi="仿宋" w:eastAsia="仿宋" w:cs="仿宋"/>
                <w:b w:val="0"/>
                <w:bCs w:val="0"/>
                <w:color w:val="auto"/>
                <w:sz w:val="24"/>
                <w:szCs w:val="24"/>
                <w:highlight w:val="none"/>
                <w:lang w:val="en-US" w:eastAsia="zh-CN"/>
              </w:rPr>
              <w:t>月</w:t>
            </w:r>
            <w:r>
              <w:rPr>
                <w:rFonts w:hint="eastAsia" w:ascii="仿宋" w:hAnsi="仿宋" w:eastAsia="仿宋" w:cs="仿宋"/>
                <w:b w:val="0"/>
                <w:bCs w:val="0"/>
                <w:color w:val="auto"/>
                <w:sz w:val="24"/>
                <w:szCs w:val="24"/>
                <w:highlight w:val="none"/>
                <w:u w:val="single"/>
                <w:lang w:val="en-US" w:eastAsia="zh-CN"/>
              </w:rPr>
              <w:t xml:space="preserve"> 31 </w:t>
            </w:r>
            <w:r>
              <w:rPr>
                <w:rFonts w:hint="eastAsia" w:ascii="仿宋" w:hAnsi="仿宋" w:eastAsia="仿宋" w:cs="仿宋"/>
                <w:b w:val="0"/>
                <w:bCs w:val="0"/>
                <w:color w:val="auto"/>
                <w:sz w:val="24"/>
                <w:szCs w:val="24"/>
                <w:highlight w:val="none"/>
                <w:lang w:val="en-US" w:eastAsia="zh-CN"/>
              </w:rPr>
              <w:t>日10:30时（北京时间）前以总公司的基本账户一次性汇入指定账户（以到账时间为准），不接受现金及任何个人汇款。确认到账后，持银行交款单、基本户开户许可证（基本存款账户信息）到阿图什市政务服务和公共资源交易中心（阿图什市财政局六楼）换取票据收据，开标现场持此项目开具的票据收据原件，标书内附此票据收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2、投标保证金以保函等票据形式提交的，在开标现场持金融机构、担保机构出具的票据原件，标书内附此票据复印件。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3、有效投标保证金成功交纳后，截止开标时间，供应商无正当理由不参加该项目投标且不递交弃标函，投标保证金不予退还。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户名：阿图什市政务服务和公共资源交易中心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账号：30456301040005267</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行名：中国农业银行阿图什市天山分理处</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行号：103893045636</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联系人：祝女士</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电话：0908-4222076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（备注：必须写清楚某某公司某某项目保证金）</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投标保证金退还：</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中标供应商持合同和票据收据5日内办理；</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未中标供应商持收据5日内办理；</w:t>
            </w:r>
          </w:p>
          <w:p>
            <w:pPr>
              <w:numPr>
                <w:ilvl w:val="0"/>
                <w:numId w:val="0"/>
              </w:numPr>
              <w:shd w:val="clear" w:color="auto" w:fill="auto"/>
              <w:spacing w:line="360" w:lineRule="auto"/>
              <w:ind w:leftChars="0" w:right="0" w:right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3、因供应商自身原因耽搁领取，超过退还时限，不承担延后退还责任。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是否允许递交备选投标方案</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■不允许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□允  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招标文件领取</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lang w:val="en-US" w:eastAsia="zh-CN"/>
              </w:rPr>
              <w:t>时间：2022年 10月 10日至2022年10月 21日，</w:t>
            </w:r>
            <w:r>
              <w:rPr>
                <w:rFonts w:hint="eastAsia" w:ascii="仿宋" w:hAnsi="仿宋" w:eastAsia="仿宋" w:cs="仿宋"/>
                <w:b w:val="0"/>
                <w:bCs w:val="0"/>
                <w:color w:val="auto"/>
                <w:sz w:val="24"/>
                <w:szCs w:val="24"/>
                <w:highlight w:val="none"/>
                <w:lang w:val="en-US" w:eastAsia="zh-CN"/>
              </w:rPr>
              <w:t>每天上午10:00至14:00，下午16:00至19：30（北京时间，节假日除外）</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地点：供应商登陆政采云平台http://www.zcygov.cn/，在线申请获取招标文件 （登录政府采购云平台 → 项目采购 → 获取招标文件 →申请，审核通过后可下载招标文件 ，如有操作性问题，可与政采云在线客服进行咨询，咨询电话：400-881-7190）。</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方式：（1）线上获取（登录政府采购云平台 → 项目采购 → 获取招标文件 → 申请，审核通过后可下载招标文件 ）。本次招标不提供纸质版招标文件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（2）供应商获取招标文件 前应注册成为政府采购云平台正式供应商。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投标文件形式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电子投标文件包括“电子加密投标文件”和“备份投标文件”，在投标文件编制完成后同时生成。</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1、“电子加密投标文件”是指通过“政采云电子交易客户端”完成投标文件编制后生成并加密的数据电文形式的投标文件。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投标文件份数及要求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1、一份电子加密标书（“.jmbs”格式），一份备份标书文件（“.bfbs”格式）。</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2、每份电子投标文件应包括资格证明文件和商务及技术文件两部分。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待开标结束后，各投标企业请于2022年11月09日19:30前提供纸质投标文件叁份并承诺与纸质投标文件内容一致的承诺书至新疆天勤工程管理有限公司（克州阿图什市迎宾路80号三楼）。投标人可采用邮寄方式提供纸质版投标文件（收件地址：克州阿图什市迎宾路80号三楼，收件人：王先生，电话：18104746080），费用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投标文件的上传和递交</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a.供应商未能在投标截止时间前成功上传电子加密投标文件的投标无效。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b.供应商成功上传电子加密投标文件后，可自行打印投标文件接收回执。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 xml:space="preserve">13779615026 </w:t>
            </w:r>
            <w:r>
              <w:rPr>
                <w:rFonts w:hint="eastAsia" w:ascii="仿宋" w:hAnsi="仿宋" w:eastAsia="仿宋" w:cs="仿宋"/>
                <w:b w:val="0"/>
                <w:bCs w:val="0"/>
                <w:color w:val="auto"/>
                <w:sz w:val="24"/>
                <w:szCs w:val="24"/>
                <w:highlight w:val="none"/>
                <w:lang w:val="en-US" w:eastAsia="zh-CN"/>
              </w:rPr>
              <w:t>），“备份投标文件”由供应商自愿提供，招标文件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评标委员会的组建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评标委员会由招标人依法组建；</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评标专家确定方式：专家评委由招标人在开标前从政采云专家库中随机抽取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是否授权评标委员会确定中标候选人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en-US" w:eastAsia="zh-CN"/>
              </w:rPr>
              <w:t>是，评标委员会推荐3名中标候选人。</w:t>
            </w:r>
            <w:r>
              <w:rPr>
                <w:rFonts w:hint="eastAsia" w:ascii="仿宋" w:hAnsi="仿宋" w:eastAsia="仿宋" w:cs="仿宋"/>
                <w:b w:val="0"/>
                <w:bCs w:val="0"/>
                <w:color w:val="auto"/>
                <w:sz w:val="24"/>
                <w:szCs w:val="24"/>
                <w:highlight w:val="no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递交投标文件地点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投标地点：新疆政府采购云平台（www.zcygov.cn）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开标时间和地点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开标地点：新疆政府采购云平台（www.zcygov.cn）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22</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重要说明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1、电子招投标情况说明：</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（1）电子招投标：本项目以数据电文形式，依托“政府采购云平台（www.zcygov.cn）”进行招投标活动。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（4）投标文件的制作：在“政采云电子交易客户端”中完成“填写基本信息”、“导入投标文件”、“标书关联”、“标书检查”、“电子签名”、“生成电子标书”等操作。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（5）投标文件的传输递交：供应商在投标截止时间前将加密的投标文件上传至政府采购云平台，还可以在投标截止时间前以电子邮件方式提供备份投标文件1份（接收人邮箱：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r>
              <w:rPr>
                <w:rFonts w:hint="eastAsia" w:ascii="仿宋" w:hAnsi="仿宋" w:eastAsia="仿宋" w:cs="仿宋"/>
                <w:b w:val="0"/>
                <w:bCs w:val="0"/>
                <w:color w:val="auto"/>
                <w:sz w:val="24"/>
                <w:szCs w:val="24"/>
                <w:highlight w:val="none"/>
                <w:lang w:val="en-US" w:eastAsia="zh-CN"/>
              </w:rPr>
              <w:t>，备份投标文件可以打包压缩并加密，压缩包命名为“XX单位备份投标文件”，加密密码由供应商自行保管（“备份投标文件”由供应商自愿提供，招标文件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（6）投标文件的解密：供应商按照平台提示和招标文件 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（7）具体操作指南：详见政采云平台“服务中心-帮助文档-项目采购-操作流程-电子招投标-政府采购项目电子交易管理操作指南-供应商”。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（8）供应商在进行上述操作时，如遇技术问题可登录政采云（https://</w:t>
            </w:r>
            <w:r>
              <w:rPr>
                <w:rFonts w:hint="eastAsia" w:ascii="仿宋" w:hAnsi="仿宋" w:eastAsia="仿宋" w:cs="仿宋"/>
                <w:b w:val="0"/>
                <w:bCs w:val="0"/>
                <w:color w:val="auto"/>
                <w:sz w:val="24"/>
                <w:szCs w:val="24"/>
                <w:highlight w:val="none"/>
                <w:lang w:val="en-US" w:eastAsia="zh-CN"/>
              </w:rPr>
              <w:fldChar w:fldCharType="begin"/>
            </w:r>
            <w:r>
              <w:rPr>
                <w:rFonts w:hint="eastAsia" w:ascii="仿宋" w:hAnsi="仿宋" w:eastAsia="仿宋" w:cs="仿宋"/>
                <w:b w:val="0"/>
                <w:bCs w:val="0"/>
                <w:color w:val="auto"/>
                <w:sz w:val="24"/>
                <w:szCs w:val="24"/>
                <w:highlight w:val="none"/>
                <w:lang w:val="en-US" w:eastAsia="zh-CN"/>
              </w:rPr>
              <w:instrText xml:space="preserve">HYPERLINK "http://www.zcygov.cn/" \h</w:instrText>
            </w:r>
            <w:r>
              <w:rPr>
                <w:rFonts w:hint="eastAsia" w:ascii="仿宋" w:hAnsi="仿宋" w:eastAsia="仿宋" w:cs="仿宋"/>
                <w:b w:val="0"/>
                <w:bCs w:val="0"/>
                <w:color w:val="auto"/>
                <w:sz w:val="24"/>
                <w:szCs w:val="24"/>
                <w:highlight w:val="none"/>
                <w:lang w:val="en-US" w:eastAsia="zh-CN"/>
              </w:rPr>
              <w:fldChar w:fldCharType="separate"/>
            </w:r>
            <w:r>
              <w:rPr>
                <w:rFonts w:hint="eastAsia" w:ascii="仿宋" w:hAnsi="仿宋" w:eastAsia="仿宋" w:cs="仿宋"/>
                <w:b w:val="0"/>
                <w:bCs w:val="0"/>
                <w:color w:val="auto"/>
                <w:sz w:val="24"/>
                <w:szCs w:val="24"/>
                <w:highlight w:val="none"/>
                <w:lang w:val="en-US" w:eastAsia="zh-CN"/>
              </w:rPr>
              <w:t>www.zcygov.cn/</w:t>
            </w:r>
            <w:r>
              <w:rPr>
                <w:rFonts w:hint="eastAsia" w:ascii="仿宋" w:hAnsi="仿宋" w:eastAsia="仿宋" w:cs="仿宋"/>
                <w:b w:val="0"/>
                <w:bCs w:val="0"/>
                <w:color w:val="auto"/>
                <w:sz w:val="24"/>
                <w:szCs w:val="24"/>
                <w:highlight w:val="none"/>
                <w:lang w:val="en-US" w:eastAsia="zh-CN"/>
              </w:rPr>
              <w:fldChar w:fldCharType="end"/>
            </w:r>
            <w:r>
              <w:rPr>
                <w:rFonts w:hint="eastAsia" w:ascii="仿宋" w:hAnsi="仿宋" w:eastAsia="仿宋" w:cs="仿宋"/>
                <w:b w:val="0"/>
                <w:bCs w:val="0"/>
                <w:color w:val="auto"/>
                <w:sz w:val="24"/>
                <w:szCs w:val="24"/>
                <w:highlight w:val="none"/>
                <w:lang w:val="en-US" w:eastAsia="zh-CN"/>
              </w:rPr>
              <w:t>），点击右侧咨询小采，获取采小蜜智能服务管家帮助，或拨打政采云服务热线 400-881-7190 获取热线服务帮助。</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温馨提醒：供应商应提前上传，以便在上传时遇到技术问题，有充足的时间请教平台的技术人员。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2、供应商认为招标文件使自己的权益受到损害的，可以自收到招标文件之日（招标文件 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 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中标候选人公示媒介</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克州公共资源交易中心网、新疆政府采购网，公示期为一个工作日。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24</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招标代理服务收费标准( 费 率)</w:t>
            </w:r>
          </w:p>
          <w:tbl>
            <w:tblPr>
              <w:tblStyle w:val="24"/>
              <w:tblpPr w:leftFromText="180" w:rightFromText="180" w:vertAnchor="text" w:horzAnchor="page" w:tblpXSpec="center" w:tblpY="19"/>
              <w:tblOverlap w:val="never"/>
              <w:tblW w:w="8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433"/>
              <w:gridCol w:w="1446"/>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中标金额</w:t>
                  </w:r>
                </w:p>
              </w:tc>
              <w:tc>
                <w:tcPr>
                  <w:tcW w:w="1530" w:type="dxa"/>
                  <w:noWrap w:val="0"/>
                  <w:vAlign w:val="center"/>
                </w:tcPr>
                <w:p>
                  <w:pPr>
                    <w:shd w:val="clear" w:color="auto" w:fill="auto"/>
                    <w:spacing w:line="360" w:lineRule="auto"/>
                    <w:ind w:firstLine="240" w:firstLineChars="100"/>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货物招标</w:t>
                  </w:r>
                </w:p>
              </w:tc>
              <w:tc>
                <w:tcPr>
                  <w:tcW w:w="1433"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服务招标</w:t>
                  </w:r>
                </w:p>
              </w:tc>
              <w:tc>
                <w:tcPr>
                  <w:tcW w:w="144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工程招标</w:t>
                  </w:r>
                </w:p>
              </w:tc>
              <w:tc>
                <w:tcPr>
                  <w:tcW w:w="1144" w:type="dxa"/>
                  <w:noWrap w:val="0"/>
                  <w:vAlign w:val="center"/>
                </w:tcPr>
                <w:p>
                  <w:pPr>
                    <w:shd w:val="clear" w:color="auto" w:fill="auto"/>
                    <w:tabs>
                      <w:tab w:val="left" w:pos="317"/>
                    </w:tabs>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b/>
                  </w:r>
                  <w:r>
                    <w:rPr>
                      <w:rFonts w:hint="eastAsia" w:ascii="仿宋" w:hAnsi="仿宋" w:eastAsia="仿宋" w:cs="仿宋"/>
                      <w:b w:val="0"/>
                      <w:bCs w:val="0"/>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100万元以下</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100～500万元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0.7%</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500～1000万元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0.45%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1000～5000万元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0.25%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0.35%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bl>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w:t>
            </w:r>
          </w:p>
          <w:p>
            <w:pPr>
              <w:numPr>
                <w:ilvl w:val="0"/>
                <w:numId w:val="3"/>
              </w:numPr>
              <w:shd w:val="clear" w:color="auto" w:fill="auto"/>
              <w:spacing w:line="360" w:lineRule="auto"/>
              <w:ind w:left="320" w:leftChars="0" w:firstLine="0" w:firstLine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按本表费率计算的收费为招标代理服务全过程的收费基准价格，单独提供编制招标文件（有标底的含标底）服务的，可按规定标准的30％计收。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2、招标代理服务收费按差额定率累进法计算。例如：某工程招标代理业务中标金额为6000万元，计算招标代理服务费额如下：</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100万元×1.0％＝1万元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（500－100）万元×0.7％＝2.8万元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（1000－500）万元×0.55％＝2.75万元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（5000－1000）万元×0.35％＝14万元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（6000－5000）万元×0.2％＝2万元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合计收费＝1＋2.8＋2.75＋14＋2＝22.55(万元)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25</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评标办法：本项目采用综合评分法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26</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不管投标结果如何，投标人均应承担自己投标所需一切费用。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27</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本次招标预算价：1包：5567400元；2包：4686300元；3包：4624100元；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4包：4710000元。（投标报价超过采购预算价的按废标处理）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28</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中小微企业政策文件</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（1）根据财政部、工业和信息化部关于印发《政府采购促进中小企业发展</w:t>
            </w:r>
            <w:r>
              <w:rPr>
                <w:rFonts w:hint="eastAsia" w:ascii="仿宋" w:hAnsi="仿宋" w:eastAsia="仿宋" w:cs="仿宋"/>
                <w:b w:val="0"/>
                <w:bCs w:val="0"/>
                <w:color w:val="auto"/>
                <w:sz w:val="24"/>
                <w:szCs w:val="24"/>
                <w:highlight w:val="none"/>
                <w:lang w:eastAsia="zh-CN"/>
              </w:rPr>
              <w:t>管理</w:t>
            </w:r>
            <w:r>
              <w:rPr>
                <w:rFonts w:hint="eastAsia" w:ascii="仿宋" w:hAnsi="仿宋" w:eastAsia="仿宋" w:cs="仿宋"/>
                <w:b w:val="0"/>
                <w:bCs w:val="0"/>
                <w:color w:val="auto"/>
                <w:sz w:val="24"/>
                <w:szCs w:val="24"/>
                <w:highlight w:val="none"/>
              </w:rPr>
              <w:t>办法》的通知（财库[20</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46</w:t>
            </w:r>
            <w:r>
              <w:rPr>
                <w:rFonts w:hint="eastAsia" w:ascii="仿宋" w:hAnsi="仿宋" w:eastAsia="仿宋" w:cs="仿宋"/>
                <w:b w:val="0"/>
                <w:bCs w:val="0"/>
                <w:color w:val="auto"/>
                <w:sz w:val="24"/>
                <w:szCs w:val="24"/>
                <w:highlight w:val="none"/>
              </w:rPr>
              <w:t>号）</w:t>
            </w:r>
            <w:r>
              <w:rPr>
                <w:rFonts w:hint="eastAsia" w:ascii="仿宋" w:hAnsi="仿宋" w:eastAsia="仿宋" w:cs="仿宋"/>
                <w:b w:val="0"/>
                <w:bCs w:val="0"/>
                <w:color w:val="auto"/>
                <w:sz w:val="24"/>
                <w:szCs w:val="24"/>
                <w:highlight w:val="none"/>
                <w:lang w:eastAsia="zh-CN"/>
              </w:rPr>
              <w:t>及（财库</w:t>
            </w:r>
            <w:r>
              <w:rPr>
                <w:rFonts w:hint="eastAsia" w:ascii="仿宋" w:hAnsi="仿宋" w:eastAsia="仿宋" w:cs="仿宋"/>
                <w:b w:val="0"/>
                <w:bCs w:val="0"/>
                <w:color w:val="auto"/>
                <w:sz w:val="24"/>
                <w:szCs w:val="24"/>
                <w:highlight w:val="none"/>
              </w:rPr>
              <w:t>[20</w:t>
            </w:r>
            <w:r>
              <w:rPr>
                <w:rFonts w:hint="eastAsia" w:ascii="仿宋" w:hAnsi="仿宋" w:eastAsia="仿宋" w:cs="仿宋"/>
                <w:b w:val="0"/>
                <w:bCs w:val="0"/>
                <w:color w:val="auto"/>
                <w:sz w:val="24"/>
                <w:szCs w:val="24"/>
                <w:highlight w:val="none"/>
                <w:lang w:val="en-US" w:eastAsia="zh-CN"/>
              </w:rPr>
              <w:t>22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19号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，投标人及其所投产品的制造商均属于《工业和信息化部、国家统计局、国家发展和改革委员会、财政部关于印发中小企业划型标准规定的通知》（工信部联企业[2011]300号）中规定的</w:t>
            </w:r>
            <w:r>
              <w:rPr>
                <w:rFonts w:hint="eastAsia" w:ascii="仿宋" w:hAnsi="仿宋" w:eastAsia="仿宋" w:cs="仿宋"/>
                <w:b w:val="0"/>
                <w:bCs w:val="0"/>
                <w:color w:val="auto"/>
                <w:sz w:val="24"/>
                <w:szCs w:val="24"/>
                <w:highlight w:val="none"/>
                <w:lang w:eastAsia="zh-CN"/>
              </w:rPr>
              <w:t>中型、</w:t>
            </w:r>
            <w:r>
              <w:rPr>
                <w:rFonts w:hint="eastAsia" w:ascii="仿宋" w:hAnsi="仿宋" w:eastAsia="仿宋" w:cs="仿宋"/>
                <w:b w:val="0"/>
                <w:bCs w:val="0"/>
                <w:color w:val="auto"/>
                <w:sz w:val="24"/>
                <w:szCs w:val="24"/>
                <w:highlight w:val="none"/>
              </w:rPr>
              <w:t>小型、微型企业标准的，按招标文件格式提供《中小企业声明函》。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29</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中小微企业政策文件说明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（1）支持中小企业发展：给予小型和微型企业产品的价格</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%的扣除，用扣除后的价格参与评审，本项目具体扣除比例为</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%。用扣除后的价格参与评审。残疾人福利性单位视同小型、微型企业，享受同等价格扣除，但同时属于残疾人福利性单位和小微企业的，不重复价格扣除。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为非专门面向中小企业采购，按照相关要求给予价格扣除比例为10%。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1-4</w:t>
            </w:r>
            <w:r>
              <w:rPr>
                <w:rFonts w:hint="eastAsia" w:ascii="仿宋" w:hAnsi="仿宋" w:eastAsia="仿宋" w:cs="仿宋"/>
                <w:b w:val="0"/>
                <w:bCs w:val="0"/>
                <w:color w:val="auto"/>
                <w:sz w:val="24"/>
                <w:szCs w:val="24"/>
                <w:highlight w:val="none"/>
                <w:lang w:eastAsia="zh-CN"/>
              </w:rPr>
              <w:t>包：医疗设备</w:t>
            </w:r>
            <w:r>
              <w:rPr>
                <w:rFonts w:hint="eastAsia" w:ascii="仿宋" w:hAnsi="仿宋" w:eastAsia="仿宋" w:cs="仿宋"/>
                <w:color w:val="auto"/>
                <w:kern w:val="0"/>
                <w:sz w:val="24"/>
                <w:szCs w:val="24"/>
                <w:highlight w:val="none"/>
              </w:rPr>
              <w:t>属于</w:t>
            </w:r>
            <w:r>
              <w:rPr>
                <w:rFonts w:hint="eastAsia" w:ascii="仿宋" w:hAnsi="仿宋" w:eastAsia="仿宋" w:cs="仿宋"/>
                <w:color w:val="auto"/>
                <w:kern w:val="0"/>
                <w:sz w:val="24"/>
                <w:szCs w:val="24"/>
                <w:highlight w:val="none"/>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30</w:t>
            </w:r>
          </w:p>
        </w:tc>
        <w:tc>
          <w:tcPr>
            <w:tcW w:w="1720" w:type="dxa"/>
            <w:noWrap w:val="0"/>
            <w:vAlign w:val="center"/>
          </w:tcPr>
          <w:p>
            <w:pPr>
              <w:shd w:val="clear" w:color="auto" w:fill="auto"/>
              <w:spacing w:line="360" w:lineRule="auto"/>
              <w:ind w:firstLine="240" w:firstLineChars="100"/>
              <w:jc w:val="both"/>
              <w:outlineLvl w:val="9"/>
              <w:rPr>
                <w:rFonts w:hint="eastAsia" w:ascii="仿宋" w:hAnsi="仿宋" w:eastAsia="仿宋" w:cs="仿宋"/>
                <w:b w:val="0"/>
                <w:bCs w:val="0"/>
                <w:color w:val="auto"/>
                <w:sz w:val="24"/>
                <w:szCs w:val="24"/>
                <w:highlight w:val="none"/>
              </w:rPr>
            </w:pPr>
          </w:p>
          <w:p>
            <w:pPr>
              <w:shd w:val="clear" w:color="auto" w:fill="auto"/>
              <w:spacing w:line="360" w:lineRule="auto"/>
              <w:jc w:val="both"/>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履约保证金</w:t>
            </w:r>
          </w:p>
          <w:p>
            <w:pPr>
              <w:shd w:val="clear" w:color="auto" w:fill="auto"/>
              <w:spacing w:line="360" w:lineRule="auto"/>
              <w:jc w:val="both"/>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rPr>
              <w:t>备注</w:t>
            </w:r>
          </w:p>
        </w:tc>
        <w:tc>
          <w:tcPr>
            <w:tcW w:w="7900" w:type="dxa"/>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着重提醒各投标人注意，并认真查看招标文件中的每一个条款及要求，因误读招标文件而造成的后果，招标人概不负责。</w:t>
            </w:r>
          </w:p>
          <w:p>
            <w:pPr>
              <w:spacing w:line="360" w:lineRule="auto"/>
              <w:outlineLvl w:val="9"/>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t>2、投标人使用相同IP地址的，一经发现，相关部门将进一步核实，查实后按串通投标处理。</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为保证本项目质量，良好的售后服务，最低报价不作为中标的唯一依据。</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其它：</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（1）投标企业严格遵守国家的法律法规及招标纪律，无违法违纪及商业贿赂行为。</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（2）不管投标结果如何，供应商均应自行承担投标所需一切费用。</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（3）供应商应以书面形式保证中标后由本公司组织实施，不得以任何理由将项目转包给其他机构。</w:t>
            </w:r>
          </w:p>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continue"/>
            <w:noWrap w:val="0"/>
            <w:vAlign w:val="center"/>
          </w:tcPr>
          <w:p>
            <w:pPr>
              <w:shd w:val="clear" w:color="auto" w:fill="auto"/>
              <w:spacing w:line="360" w:lineRule="auto"/>
              <w:jc w:val="center"/>
              <w:outlineLvl w:val="9"/>
              <w:rPr>
                <w:rFonts w:hint="eastAsia" w:ascii="仿宋" w:hAnsi="仿宋" w:eastAsia="仿宋" w:cs="仿宋"/>
                <w:b/>
                <w:bCs/>
                <w:color w:val="auto"/>
                <w:sz w:val="24"/>
                <w:szCs w:val="24"/>
                <w:highlight w:val="none"/>
              </w:rPr>
            </w:pP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投标供应商须按照对应的包号参加投标，即按包号进行投标。</w:t>
            </w:r>
          </w:p>
        </w:tc>
      </w:tr>
    </w:tbl>
    <w:p>
      <w:pPr>
        <w:pageBreakBefore/>
        <w:shd w:val="clear" w:color="auto" w:fill="auto"/>
        <w:spacing w:before="312" w:beforeLines="100" w:after="312" w:afterLines="100" w:line="440" w:lineRule="exact"/>
        <w:jc w:val="center"/>
        <w:outlineLvl w:val="9"/>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pPr>
        <w:shd w:val="clear" w:color="auto" w:fill="auto"/>
        <w:spacing w:line="440" w:lineRule="exact"/>
        <w:jc w:val="center"/>
        <w:outlineLvl w:val="9"/>
        <w:rPr>
          <w:rFonts w:hint="eastAsia" w:ascii="仿宋" w:hAnsi="仿宋" w:eastAsia="仿宋" w:cs="仿宋"/>
          <w:color w:val="auto"/>
          <w:sz w:val="28"/>
          <w:szCs w:val="28"/>
          <w:highlight w:val="none"/>
        </w:rPr>
      </w:pPr>
      <w:bookmarkStart w:id="8"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8"/>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供货期：见投标人须知前附表。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交</w:t>
      </w:r>
      <w:r>
        <w:rPr>
          <w:rFonts w:hint="eastAsia" w:ascii="仿宋" w:hAnsi="仿宋" w:eastAsia="仿宋" w:cs="仿宋"/>
          <w:color w:val="auto"/>
          <w:szCs w:val="21"/>
          <w:highlight w:val="none"/>
        </w:rPr>
        <w:t>货地点：见投标人须知前附表。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pPr>
        <w:shd w:val="clear" w:color="auto" w:fill="auto"/>
        <w:snapToGrid w:val="0"/>
        <w:spacing w:line="440" w:lineRule="exact"/>
        <w:ind w:firstLine="600" w:firstLineChars="25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pPr>
        <w:shd w:val="clear" w:color="auto" w:fill="auto"/>
        <w:snapToGrid w:val="0"/>
        <w:spacing w:line="44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4</w:t>
      </w:r>
      <w:r>
        <w:rPr>
          <w:rFonts w:hint="eastAsia" w:ascii="仿宋" w:hAnsi="仿宋" w:eastAsia="仿宋" w:cs="仿宋"/>
          <w:color w:val="auto"/>
          <w:szCs w:val="21"/>
          <w:highlight w:val="none"/>
        </w:rPr>
        <w:t>个包</w:t>
      </w:r>
      <w:r>
        <w:rPr>
          <w:rFonts w:hint="eastAsia" w:ascii="仿宋" w:hAnsi="仿宋" w:eastAsia="仿宋" w:cs="仿宋"/>
          <w:color w:val="auto"/>
          <w:kern w:val="0"/>
          <w:szCs w:val="21"/>
          <w:highlight w:val="none"/>
        </w:rPr>
        <w:t>。</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固定单价 。</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9" w:name="_Toc152045539"/>
      <w:bookmarkStart w:id="10" w:name="_Toc247592876"/>
      <w:bookmarkStart w:id="11" w:name="_Toc144974507"/>
      <w:bookmarkStart w:id="12" w:name="_Toc152042315"/>
      <w:bookmarkStart w:id="13" w:name="_Toc247527563"/>
      <w:bookmarkStart w:id="14" w:name="_Toc296602429"/>
      <w:bookmarkStart w:id="15" w:name="_Toc247513962"/>
      <w:r>
        <w:rPr>
          <w:rFonts w:hint="eastAsia" w:ascii="仿宋" w:hAnsi="仿宋" w:eastAsia="仿宋" w:cs="仿宋"/>
          <w:b/>
          <w:color w:val="auto"/>
          <w:szCs w:val="21"/>
          <w:highlight w:val="none"/>
        </w:rPr>
        <w:t xml:space="preserve"> 踏勘现场</w:t>
      </w:r>
      <w:bookmarkEnd w:id="9"/>
      <w:bookmarkEnd w:id="10"/>
      <w:bookmarkEnd w:id="11"/>
      <w:bookmarkEnd w:id="12"/>
      <w:bookmarkEnd w:id="13"/>
      <w:bookmarkEnd w:id="14"/>
      <w:bookmarkEnd w:id="15"/>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bCs/>
          <w:color w:val="auto"/>
          <w:highlight w:val="none"/>
          <w:lang w:eastAsia="zh-CN"/>
        </w:rPr>
        <w:t>投标人自行踏勘现场的，可咨询本项目采购人或采购代理机构联系人。</w:t>
      </w:r>
      <w:r>
        <w:rPr>
          <w:rFonts w:hint="eastAsia" w:ascii="仿宋" w:hAnsi="仿宋" w:eastAsia="仿宋" w:cs="仿宋"/>
          <w:b/>
          <w:bCs/>
          <w:color w:val="auto"/>
          <w:szCs w:val="21"/>
          <w:highlight w:val="none"/>
        </w:rPr>
        <w:t xml:space="preserve"> </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6" w:name="_Toc144974508"/>
      <w:bookmarkStart w:id="17" w:name="_Toc247527564"/>
      <w:bookmarkStart w:id="18" w:name="_Toc152042316"/>
      <w:bookmarkStart w:id="19" w:name="_Toc152045540"/>
      <w:bookmarkStart w:id="20" w:name="_Toc247513963"/>
      <w:bookmarkStart w:id="21" w:name="_Toc247592877"/>
      <w:bookmarkStart w:id="22" w:name="_Toc296602430"/>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6"/>
      <w:bookmarkEnd w:id="17"/>
      <w:bookmarkEnd w:id="18"/>
      <w:bookmarkEnd w:id="19"/>
      <w:bookmarkEnd w:id="20"/>
      <w:bookmarkEnd w:id="21"/>
      <w:bookmarkEnd w:id="22"/>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84" w:firstLineChars="20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pPr>
        <w:shd w:val="clear" w:color="auto" w:fill="auto"/>
        <w:spacing w:line="440" w:lineRule="exact"/>
        <w:ind w:firstLine="470" w:firstLineChars="196"/>
        <w:jc w:val="left"/>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12.招标代理费</w:t>
      </w:r>
      <w:r>
        <w:rPr>
          <w:rFonts w:hint="eastAsia" w:ascii="仿宋" w:hAnsi="仿宋" w:eastAsia="仿宋" w:cs="仿宋"/>
          <w:b/>
          <w:color w:val="auto"/>
          <w:szCs w:val="21"/>
          <w:highlight w:val="none"/>
          <w:lang w:eastAsia="zh-CN"/>
        </w:rPr>
        <w:t>：参照投标人须知前附表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lang w:eastAsia="zh-CN"/>
        </w:rPr>
      </w:pPr>
      <w:bookmarkStart w:id="23" w:name="_Toc469495725"/>
      <w:r>
        <w:rPr>
          <w:rFonts w:hint="eastAsia" w:ascii="仿宋" w:hAnsi="仿宋" w:eastAsia="仿宋" w:cs="仿宋"/>
          <w:b/>
          <w:color w:val="auto"/>
          <w:sz w:val="28"/>
          <w:szCs w:val="28"/>
          <w:highlight w:val="none"/>
        </w:rPr>
        <w:t>（二）</w:t>
      </w:r>
      <w:bookmarkEnd w:id="23"/>
      <w:r>
        <w:rPr>
          <w:rFonts w:hint="eastAsia" w:ascii="仿宋" w:hAnsi="仿宋" w:eastAsia="仿宋" w:cs="仿宋"/>
          <w:b/>
          <w:color w:val="auto"/>
          <w:sz w:val="28"/>
          <w:szCs w:val="28"/>
          <w:highlight w:val="none"/>
          <w:lang w:eastAsia="zh-CN"/>
        </w:rPr>
        <w:t>招标文件</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招标</w:t>
      </w:r>
      <w:r>
        <w:rPr>
          <w:rFonts w:hint="eastAsia" w:ascii="仿宋" w:hAnsi="仿宋" w:eastAsia="仿宋" w:cs="仿宋"/>
          <w:color w:val="auto"/>
          <w:szCs w:val="21"/>
          <w:highlight w:val="none"/>
        </w:rPr>
        <w:t>公告</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供应商须知</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第四章  </w:t>
      </w:r>
      <w:r>
        <w:rPr>
          <w:rFonts w:hint="eastAsia" w:ascii="仿宋" w:hAnsi="仿宋" w:eastAsia="仿宋" w:cs="仿宋"/>
          <w:color w:val="auto"/>
          <w:szCs w:val="21"/>
          <w:highlight w:val="none"/>
          <w:lang w:eastAsia="zh-CN"/>
        </w:rPr>
        <w:t>技术规格数量及质量要求</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第五章  </w:t>
      </w:r>
      <w:r>
        <w:rPr>
          <w:rFonts w:hint="eastAsia" w:ascii="仿宋" w:hAnsi="仿宋" w:eastAsia="仿宋" w:cs="仿宋"/>
          <w:color w:val="auto"/>
          <w:szCs w:val="21"/>
          <w:highlight w:val="none"/>
          <w:lang w:eastAsia="zh-CN"/>
        </w:rPr>
        <w:t>合同（参考）</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第六章  </w:t>
      </w:r>
      <w:r>
        <w:rPr>
          <w:rFonts w:hint="eastAsia" w:ascii="仿宋" w:hAnsi="仿宋" w:eastAsia="仿宋" w:cs="仿宋"/>
          <w:color w:val="auto"/>
          <w:szCs w:val="21"/>
          <w:highlight w:val="none"/>
          <w:lang w:val="en-US" w:eastAsia="zh-CN"/>
        </w:rPr>
        <w:t>投标文件格式</w:t>
      </w:r>
    </w:p>
    <w:p>
      <w:pPr>
        <w:shd w:val="clear" w:color="auto" w:fill="auto"/>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pPr>
        <w:pStyle w:val="13"/>
        <w:shd w:val="clear" w:color="auto" w:fill="auto"/>
        <w:wordWrap w:val="0"/>
        <w:spacing w:line="400" w:lineRule="exact"/>
        <w:outlineLvl w:val="9"/>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pPr>
        <w:shd w:val="clear" w:color="auto" w:fill="auto"/>
        <w:wordWrap w:val="0"/>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pPr>
        <w:shd w:val="clear" w:color="auto" w:fill="auto"/>
        <w:spacing w:line="44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pPr>
        <w:shd w:val="clear" w:color="auto" w:fill="auto"/>
        <w:spacing w:line="40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pPr>
        <w:shd w:val="clear" w:color="auto" w:fill="auto"/>
        <w:spacing w:line="400" w:lineRule="exac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pPr>
        <w:shd w:val="clear" w:color="auto" w:fill="auto"/>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的澄清、修改、补充及招标答疑等均应报</w:t>
      </w:r>
      <w:r>
        <w:rPr>
          <w:rFonts w:hint="eastAsia" w:ascii="仿宋" w:hAnsi="仿宋" w:eastAsia="仿宋" w:cs="仿宋"/>
          <w:color w:val="auto"/>
          <w:szCs w:val="21"/>
          <w:highlight w:val="none"/>
          <w:lang w:eastAsia="zh-CN"/>
        </w:rPr>
        <w:t>相关部门</w:t>
      </w:r>
      <w:r>
        <w:rPr>
          <w:rFonts w:hint="eastAsia" w:ascii="仿宋" w:hAnsi="仿宋" w:eastAsia="仿宋" w:cs="仿宋"/>
          <w:color w:val="auto"/>
          <w:szCs w:val="21"/>
          <w:highlight w:val="none"/>
        </w:rPr>
        <w:t>备案后，方可发出。</w:t>
      </w:r>
    </w:p>
    <w:p>
      <w:pPr>
        <w:shd w:val="clear" w:color="auto" w:fill="auto"/>
        <w:spacing w:line="440" w:lineRule="exact"/>
        <w:ind w:firstLine="319" w:firstLineChars="133"/>
        <w:outlineLvl w:val="9"/>
        <w:rPr>
          <w:rFonts w:hint="eastAsia" w:ascii="仿宋" w:hAnsi="仿宋" w:eastAsia="仿宋" w:cs="仿宋"/>
          <w:color w:val="auto"/>
          <w:szCs w:val="21"/>
          <w:highlight w:val="none"/>
        </w:rPr>
      </w:pPr>
      <w:bookmarkStart w:id="24"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4"/>
    </w:p>
    <w:p>
      <w:pPr>
        <w:shd w:val="clear" w:color="auto" w:fill="auto"/>
        <w:spacing w:line="440" w:lineRule="exact"/>
        <w:ind w:firstLine="348" w:firstLineChars="145"/>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pPr>
        <w:shd w:val="clear" w:color="auto" w:fill="auto"/>
        <w:spacing w:line="400" w:lineRule="exact"/>
        <w:ind w:firstLine="235" w:firstLineChars="98"/>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pPr>
        <w:shd w:val="clear" w:color="auto" w:fill="auto"/>
        <w:spacing w:line="440" w:lineRule="exact"/>
        <w:ind w:firstLine="352" w:firstLineChars="147"/>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2、法定代表人资格证明书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3、法定代表人授权书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4、投标保证金收据或投标担保函；</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5、投标企业须提供投标人（被授权在职人员）近期社保证明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6、参加政府采购活动前3年内在经营活动中没有重大违法记录的书面声明;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9、投标人须知资料表要求的其他资格证明文件;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rPr>
        <w:t>1、投标</w:t>
      </w:r>
      <w:r>
        <w:rPr>
          <w:rFonts w:hint="eastAsia" w:ascii="仿宋" w:hAnsi="仿宋" w:eastAsia="仿宋" w:cs="仿宋"/>
          <w:b w:val="0"/>
          <w:bCs/>
          <w:color w:val="auto"/>
          <w:kern w:val="0"/>
          <w:szCs w:val="21"/>
          <w:highlight w:val="none"/>
          <w:u w:val="none"/>
          <w:lang w:eastAsia="zh-CN"/>
        </w:rPr>
        <w:t>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2、开标一览表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3、货物说明一览表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4</w:t>
      </w:r>
      <w:r>
        <w:rPr>
          <w:rFonts w:hint="eastAsia" w:ascii="仿宋" w:hAnsi="仿宋" w:eastAsia="仿宋" w:cs="仿宋"/>
          <w:b w:val="0"/>
          <w:bCs/>
          <w:color w:val="auto"/>
          <w:kern w:val="0"/>
          <w:szCs w:val="21"/>
          <w:highlight w:val="none"/>
          <w:u w:val="none"/>
        </w:rPr>
        <w:t>、投标分项报价表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5</w:t>
      </w:r>
      <w:r>
        <w:rPr>
          <w:rFonts w:hint="eastAsia" w:ascii="仿宋" w:hAnsi="仿宋" w:eastAsia="仿宋" w:cs="仿宋"/>
          <w:b w:val="0"/>
          <w:bCs/>
          <w:color w:val="auto"/>
          <w:kern w:val="0"/>
          <w:szCs w:val="21"/>
          <w:highlight w:val="none"/>
          <w:u w:val="none"/>
        </w:rPr>
        <w:t>、技术规格偏离表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6</w:t>
      </w:r>
      <w:r>
        <w:rPr>
          <w:rFonts w:hint="eastAsia" w:ascii="仿宋" w:hAnsi="仿宋" w:eastAsia="仿宋" w:cs="仿宋"/>
          <w:b w:val="0"/>
          <w:bCs/>
          <w:color w:val="auto"/>
          <w:kern w:val="0"/>
          <w:szCs w:val="21"/>
          <w:highlight w:val="none"/>
          <w:u w:val="none"/>
        </w:rPr>
        <w:t>、商务条款偏离表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7、投标人基本情况表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8、近三年（2019年1月1日至今）类似项目业绩表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9</w:t>
      </w:r>
      <w:r>
        <w:rPr>
          <w:rFonts w:hint="eastAsia" w:ascii="仿宋" w:hAnsi="仿宋" w:eastAsia="仿宋" w:cs="仿宋"/>
          <w:b w:val="0"/>
          <w:bCs/>
          <w:color w:val="auto"/>
          <w:kern w:val="0"/>
          <w:szCs w:val="21"/>
          <w:highlight w:val="none"/>
          <w:u w:val="none"/>
        </w:rPr>
        <w:t>、中小企业声明函(</w:t>
      </w:r>
      <w:r>
        <w:rPr>
          <w:rFonts w:hint="eastAsia" w:ascii="仿宋" w:hAnsi="仿宋" w:eastAsia="仿宋" w:cs="仿宋"/>
          <w:b w:val="0"/>
          <w:bCs/>
          <w:color w:val="auto"/>
          <w:kern w:val="0"/>
          <w:szCs w:val="21"/>
          <w:highlight w:val="none"/>
          <w:u w:val="none"/>
          <w:lang w:eastAsia="zh-CN"/>
        </w:rPr>
        <w:t>货物</w:t>
      </w:r>
      <w:r>
        <w:rPr>
          <w:rFonts w:hint="eastAsia" w:ascii="仿宋" w:hAnsi="仿宋" w:eastAsia="仿宋" w:cs="仿宋"/>
          <w:b w:val="0"/>
          <w:bCs/>
          <w:color w:val="auto"/>
          <w:kern w:val="0"/>
          <w:szCs w:val="21"/>
          <w:highlight w:val="none"/>
          <w:u w:val="none"/>
        </w:rPr>
        <w:t>)</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10、</w:t>
      </w:r>
      <w:r>
        <w:rPr>
          <w:rFonts w:hint="eastAsia" w:ascii="仿宋" w:hAnsi="仿宋" w:eastAsia="仿宋" w:cs="仿宋"/>
          <w:b w:val="0"/>
          <w:bCs/>
          <w:color w:val="auto"/>
          <w:kern w:val="0"/>
          <w:szCs w:val="21"/>
          <w:highlight w:val="none"/>
          <w:u w:val="none"/>
        </w:rPr>
        <w:t>《残疾人福利性单位声明函》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11、</w:t>
      </w:r>
      <w:r>
        <w:rPr>
          <w:rFonts w:hint="eastAsia" w:ascii="仿宋" w:hAnsi="仿宋" w:eastAsia="仿宋" w:cs="仿宋"/>
          <w:b w:val="0"/>
          <w:bCs/>
          <w:color w:val="auto"/>
          <w:kern w:val="0"/>
          <w:szCs w:val="21"/>
          <w:highlight w:val="none"/>
          <w:u w:val="none"/>
          <w:lang w:eastAsia="zh-CN"/>
        </w:rPr>
        <w:t>评分标准和细则中技术部分证明材料</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12、</w:t>
      </w:r>
      <w:r>
        <w:rPr>
          <w:rFonts w:hint="eastAsia" w:ascii="仿宋" w:hAnsi="仿宋" w:eastAsia="仿宋" w:cs="仿宋"/>
          <w:b w:val="0"/>
          <w:bCs/>
          <w:color w:val="auto"/>
          <w:kern w:val="0"/>
          <w:szCs w:val="21"/>
          <w:highlight w:val="none"/>
          <w:u w:val="none"/>
          <w:lang w:eastAsia="zh-CN"/>
        </w:rPr>
        <w:t>评分标准和细则中技术部分证明材料（格式自拟）</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13、</w:t>
      </w:r>
      <w:r>
        <w:rPr>
          <w:rFonts w:hint="eastAsia" w:ascii="仿宋" w:hAnsi="仿宋" w:eastAsia="仿宋" w:cs="仿宋"/>
          <w:b w:val="0"/>
          <w:bCs/>
          <w:color w:val="auto"/>
          <w:kern w:val="0"/>
          <w:szCs w:val="21"/>
          <w:highlight w:val="none"/>
          <w:u w:val="none"/>
          <w:lang w:eastAsia="zh-CN"/>
        </w:rPr>
        <w:t>投标人认为有必要提供的其他证明材料（格式自拟）</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22.2投标报价表上应清楚地标明投标人拟提供货物的名称、型号、生产厂家、数量、单价和总价。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并最终按货物总量乘以货物单价报总价，不得采用总价下浮的方式进行报价。综合单价包括：货物本身价格、疫苗费检测费、运输费用、验货费用、损耗、技术指导、税金费用、自检费及验收合格前和质保期内发生的一切费用、应当提供的伴随服务/售后服务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bookmarkStart w:id="25"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pPr>
        <w:shd w:val="clear" w:color="auto" w:fill="auto"/>
        <w:bidi w:val="0"/>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5"/>
      <w:r>
        <w:rPr>
          <w:rFonts w:hint="eastAsia" w:ascii="仿宋" w:hAnsi="仿宋" w:eastAsia="仿宋" w:cs="仿宋"/>
          <w:color w:val="auto"/>
          <w:sz w:val="28"/>
          <w:szCs w:val="28"/>
          <w:highlight w:val="none"/>
        </w:rPr>
        <w:t>投标文件的制作、上传及递交要求</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25.</w:t>
      </w:r>
      <w:r>
        <w:rPr>
          <w:rFonts w:hint="eastAsia" w:ascii="仿宋" w:hAnsi="仿宋" w:eastAsia="仿宋" w:cs="仿宋"/>
          <w:b/>
          <w:bCs/>
          <w:color w:val="auto"/>
          <w:sz w:val="24"/>
          <w:szCs w:val="24"/>
          <w:highlight w:val="none"/>
        </w:rPr>
        <w:t>投标文件的制作要求</w:t>
      </w:r>
    </w:p>
    <w:p>
      <w:pPr>
        <w:pStyle w:val="6"/>
        <w:shd w:val="clear" w:color="auto" w:fill="auto"/>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rPr>
        <w:t>（1）供应商应按照投标文件组成内容及项目招标需求和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政府采购云平台要求制作投标文件，不按采购文件和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备份电子投标文件：通过“政采云”平台电子投标工具制作投标文件所产生的备份文件。</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（2）供应商应对所提供的全部资料的真实性、有效性承担法律责任，电子投标文件中所须加盖公章部分均采用CA签章。</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（3）投标文件以及供应商与采购组织机构就有关投标事宜的所有来往函电，均应以中文汉语书写。除</w:t>
      </w:r>
      <w:r>
        <w:rPr>
          <w:rFonts w:hint="eastAsia" w:ascii="仿宋" w:hAnsi="仿宋" w:eastAsia="仿宋" w:cs="仿宋"/>
          <w:b w:val="0"/>
          <w:bCs/>
          <w:color w:val="auto"/>
          <w:sz w:val="24"/>
          <w:szCs w:val="24"/>
          <w:highlight w:val="none"/>
          <w:lang w:eastAsia="zh-CN"/>
        </w:rPr>
        <w:t>签章</w:t>
      </w:r>
      <w:r>
        <w:rPr>
          <w:rFonts w:hint="eastAsia" w:ascii="仿宋" w:hAnsi="仿宋" w:eastAsia="仿宋" w:cs="仿宋"/>
          <w:b w:val="0"/>
          <w:bCs/>
          <w:color w:val="auto"/>
          <w:sz w:val="24"/>
          <w:szCs w:val="24"/>
          <w:highlight w:val="none"/>
        </w:rPr>
        <w:t>、盖章、专用名称等特殊情形外，以中文汉语以外的文字表述的投标文件视同未提供。</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（5）若供应商不按采购文件的要求提供资格审查材料，其风险由供应商自行承担。</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（6）与本次投标无关的内容请不要制作在内，确保投标文件有针对性、简洁明了。</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26.</w:t>
      </w:r>
      <w:r>
        <w:rPr>
          <w:rFonts w:hint="eastAsia" w:ascii="仿宋" w:hAnsi="仿宋" w:eastAsia="仿宋" w:cs="仿宋"/>
          <w:b/>
          <w:bCs/>
          <w:color w:val="auto"/>
          <w:sz w:val="24"/>
          <w:szCs w:val="24"/>
          <w:highlight w:val="none"/>
        </w:rPr>
        <w:t>投标文件的上传</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bidi="zh-CN"/>
        </w:rPr>
        <w:t>电子加密投标文件（“.jmbs”格式）</w:t>
      </w:r>
      <w:r>
        <w:rPr>
          <w:rFonts w:hint="eastAsia" w:ascii="仿宋" w:hAnsi="仿宋" w:eastAsia="仿宋" w:cs="仿宋"/>
          <w:b/>
          <w:bCs/>
          <w:color w:val="auto"/>
          <w:sz w:val="24"/>
          <w:szCs w:val="24"/>
          <w:highlight w:val="none"/>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a.</w:t>
      </w: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sz w:val="24"/>
          <w:szCs w:val="24"/>
          <w:highlight w:val="none"/>
          <w:lang w:bidi="zh-CN"/>
        </w:rPr>
        <w:t>供应商应在投标截止时间前将电子加密投标文件成功上传递交至新疆政府采购云平台，否则投标无效；</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bidi="zh-CN"/>
        </w:rPr>
        <w:t>b.供应商成功上传电子加密投标文件后，可自行打印投标文件接收回执。</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lang w:bidi="zh-CN"/>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bidi="zh-CN"/>
        </w:rPr>
        <w:t>备份投标文件（“.bfbs”格式）：</w:t>
      </w:r>
    </w:p>
    <w:p>
      <w:pPr>
        <w:pStyle w:val="6"/>
        <w:shd w:val="clear" w:color="auto" w:fill="auto"/>
        <w:snapToGrid w:val="0"/>
        <w:spacing w:line="360" w:lineRule="auto"/>
        <w:ind w:firstLine="600" w:firstLineChars="250"/>
        <w:outlineLvl w:val="9"/>
        <w:rPr>
          <w:rFonts w:hint="eastAsia" w:ascii="仿宋" w:hAnsi="仿宋" w:eastAsia="仿宋" w:cs="仿宋"/>
          <w:color w:val="auto"/>
          <w:sz w:val="24"/>
          <w:szCs w:val="24"/>
          <w:highlight w:val="none"/>
          <w:lang w:bidi="zh-CN"/>
        </w:rPr>
      </w:pPr>
      <w:r>
        <w:rPr>
          <w:rFonts w:hint="eastAsia" w:ascii="仿宋" w:hAnsi="仿宋" w:eastAsia="仿宋" w:cs="仿宋"/>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4"/>
          <w:szCs w:val="24"/>
          <w:highlight w:val="none"/>
          <w:lang w:bidi="zh-CN"/>
        </w:rPr>
        <w:t>“备份投标文件”以投标截止时间前指定接收邮箱最终收到的文件为准，逾期或未按要求提供的视为未提供，建议供应商提前1日办理邮件提供事宜（接收人邮箱：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27.</w:t>
      </w:r>
      <w:r>
        <w:rPr>
          <w:rFonts w:hint="eastAsia" w:ascii="仿宋" w:hAnsi="仿宋" w:eastAsia="仿宋" w:cs="仿宋"/>
          <w:b/>
          <w:color w:val="auto"/>
          <w:sz w:val="24"/>
          <w:szCs w:val="24"/>
          <w:highlight w:val="none"/>
        </w:rPr>
        <w:t>投标文件的递交要求</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bookmarkStart w:id="26" w:name="_Toc469495728"/>
    </w:p>
    <w:p>
      <w:pP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tabs>
          <w:tab w:val="left" w:pos="960"/>
          <w:tab w:val="left" w:pos="1418"/>
        </w:tabs>
        <w:autoSpaceDE w:val="0"/>
        <w:autoSpaceDN w:val="0"/>
        <w:adjustRightInd w:val="0"/>
        <w:snapToGrid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 标、评标和定标</w:t>
      </w:r>
      <w:bookmarkEnd w:id="26"/>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bookmarkStart w:id="27" w:name="_Toc73975822"/>
      <w:r>
        <w:rPr>
          <w:rFonts w:hint="eastAsia" w:ascii="仿宋" w:hAnsi="仿宋" w:eastAsia="仿宋" w:cs="仿宋"/>
          <w:b/>
          <w:bCs/>
          <w:color w:val="auto"/>
          <w:sz w:val="24"/>
          <w:szCs w:val="24"/>
          <w:highlight w:val="none"/>
          <w:lang w:val="en-US" w:eastAsia="zh-CN"/>
        </w:rPr>
        <w:t>29.1开标邀请</w:t>
      </w:r>
      <w:bookmarkEnd w:id="27"/>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开标准备：本项目开标的准备工作由采购组织机构负责落实，开标过程由采购组织机构负责记录；</w:t>
      </w:r>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rPr>
        <w:t>开标主持：本项目开标由采购人或者采购代理机构主持；</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开标邀请：本项目采用电子交易，采购组织机构将按照采购文件规定的时间通过“</w:t>
      </w:r>
      <w:r>
        <w:rPr>
          <w:rFonts w:hint="eastAsia" w:ascii="仿宋" w:hAnsi="仿宋" w:eastAsia="仿宋" w:cs="仿宋"/>
          <w:b w:val="0"/>
          <w:color w:val="auto"/>
          <w:sz w:val="24"/>
          <w:szCs w:val="24"/>
          <w:highlight w:val="none"/>
          <w:lang w:eastAsia="zh-CN"/>
        </w:rPr>
        <w:t>新疆</w:t>
      </w:r>
      <w:r>
        <w:rPr>
          <w:rFonts w:hint="eastAsia" w:ascii="仿宋" w:hAnsi="仿宋" w:eastAsia="仿宋" w:cs="仿宋"/>
          <w:b w:val="0"/>
          <w:color w:val="auto"/>
          <w:sz w:val="24"/>
          <w:szCs w:val="24"/>
          <w:highlight w:val="none"/>
        </w:rPr>
        <w:t>政府采购云平台，网址：</w:t>
      </w:r>
      <w:r>
        <w:rPr>
          <w:rFonts w:hint="eastAsia" w:ascii="仿宋" w:hAnsi="仿宋" w:eastAsia="仿宋" w:cs="仿宋"/>
          <w:b w:val="0"/>
          <w:color w:val="auto"/>
          <w:sz w:val="24"/>
          <w:szCs w:val="24"/>
          <w:highlight w:val="none"/>
        </w:rPr>
        <w:fldChar w:fldCharType="begin"/>
      </w:r>
      <w:r>
        <w:rPr>
          <w:rFonts w:hint="eastAsia" w:ascii="仿宋" w:hAnsi="仿宋" w:eastAsia="仿宋" w:cs="仿宋"/>
          <w:b w:val="0"/>
          <w:color w:val="auto"/>
          <w:sz w:val="24"/>
          <w:szCs w:val="24"/>
          <w:highlight w:val="none"/>
        </w:rPr>
        <w:instrText xml:space="preserve">HYPERLINK "http://www.zcygov.cn"</w:instrText>
      </w:r>
      <w:r>
        <w:rPr>
          <w:rFonts w:hint="eastAsia" w:ascii="仿宋" w:hAnsi="仿宋" w:eastAsia="仿宋" w:cs="仿宋"/>
          <w:b w:val="0"/>
          <w:color w:val="auto"/>
          <w:sz w:val="24"/>
          <w:szCs w:val="24"/>
          <w:highlight w:val="none"/>
        </w:rPr>
        <w:fldChar w:fldCharType="separate"/>
      </w:r>
      <w:r>
        <w:rPr>
          <w:rStyle w:val="28"/>
          <w:rFonts w:hint="eastAsia" w:ascii="仿宋" w:hAnsi="仿宋" w:eastAsia="仿宋" w:cs="仿宋"/>
          <w:b w:val="0"/>
          <w:color w:val="auto"/>
          <w:sz w:val="24"/>
          <w:szCs w:val="24"/>
          <w:highlight w:val="none"/>
          <w:u w:val="none"/>
        </w:rPr>
        <w:t>www.zcygov.cn</w:t>
      </w:r>
      <w:r>
        <w:rPr>
          <w:rFonts w:hint="eastAsia" w:ascii="仿宋" w:hAnsi="仿宋" w:eastAsia="仿宋" w:cs="仿宋"/>
          <w:color w:val="auto"/>
          <w:sz w:val="24"/>
          <w:szCs w:val="24"/>
          <w:highlight w:val="none"/>
        </w:rPr>
        <w:fldChar w:fldCharType="end"/>
      </w:r>
      <w:r>
        <w:rPr>
          <w:rFonts w:hint="eastAsia" w:ascii="仿宋" w:hAnsi="仿宋" w:eastAsia="仿宋" w:cs="仿宋"/>
          <w:b w:val="0"/>
          <w:color w:val="auto"/>
          <w:sz w:val="24"/>
          <w:szCs w:val="24"/>
          <w:highlight w:val="none"/>
        </w:rPr>
        <w:t>”组织开标、开启投标响应文件，所有供应商均应当准时在线参加。</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4</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bookmarkStart w:id="28" w:name="_Toc73975823"/>
      <w:r>
        <w:rPr>
          <w:rFonts w:hint="eastAsia" w:ascii="仿宋" w:hAnsi="仿宋" w:eastAsia="仿宋" w:cs="仿宋"/>
          <w:b/>
          <w:color w:val="auto"/>
          <w:sz w:val="24"/>
          <w:szCs w:val="24"/>
          <w:highlight w:val="none"/>
          <w:lang w:val="en-US" w:eastAsia="zh-CN"/>
        </w:rPr>
        <w:t>29.2</w:t>
      </w:r>
      <w:r>
        <w:rPr>
          <w:rFonts w:hint="eastAsia" w:ascii="仿宋" w:hAnsi="仿宋" w:eastAsia="仿宋" w:cs="仿宋"/>
          <w:b/>
          <w:bCs/>
          <w:color w:val="auto"/>
          <w:sz w:val="24"/>
          <w:szCs w:val="24"/>
          <w:highlight w:val="none"/>
        </w:rPr>
        <w:t>开标程序（先资格、商务技术后报价）</w:t>
      </w:r>
      <w:bookmarkEnd w:id="28"/>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开标时间到后，主持人宣布开标会议开始。</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w:t>
      </w:r>
      <w:r>
        <w:rPr>
          <w:rFonts w:hint="eastAsia" w:ascii="仿宋" w:hAnsi="仿宋" w:eastAsia="仿宋" w:cs="仿宋"/>
          <w:b/>
          <w:color w:val="auto"/>
          <w:kern w:val="0"/>
          <w:sz w:val="24"/>
          <w:szCs w:val="24"/>
          <w:highlight w:val="none"/>
        </w:rPr>
        <w:t>解密规定见《供应商须知前附表》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投标文件解密异常情况处理（</w:t>
      </w:r>
      <w:r>
        <w:rPr>
          <w:rFonts w:hint="eastAsia" w:ascii="仿宋" w:hAnsi="仿宋" w:eastAsia="仿宋" w:cs="仿宋"/>
          <w:b/>
          <w:color w:val="auto"/>
          <w:kern w:val="0"/>
          <w:sz w:val="24"/>
          <w:szCs w:val="24"/>
          <w:highlight w:val="none"/>
        </w:rPr>
        <w:t>处理办法见《供应商须知前附表》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公布投标文件解密情况（投标文件成功解密的供应商名单等信息），组织签署</w:t>
      </w:r>
      <w:r>
        <w:rPr>
          <w:rFonts w:hint="eastAsia" w:ascii="仿宋" w:hAnsi="仿宋" w:eastAsia="仿宋" w:cs="仿宋"/>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820740061@qq.com，逾期发送或未发送的视为无异议</w:t>
      </w:r>
      <w:r>
        <w:rPr>
          <w:rFonts w:hint="eastAsia" w:ascii="仿宋" w:hAnsi="仿宋" w:eastAsia="仿宋" w:cs="仿宋"/>
          <w:color w:val="auto"/>
          <w:kern w:val="0"/>
          <w:sz w:val="24"/>
          <w:szCs w:val="24"/>
          <w:highlight w:val="none"/>
        </w:rPr>
        <w:t>。</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开启标书信息（资格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文件、商务技术文件）。标书信息开启后，首先由采购人或采购代理机构</w:t>
      </w:r>
      <w:r>
        <w:rPr>
          <w:rFonts w:hint="eastAsia" w:ascii="仿宋" w:hAnsi="仿宋" w:eastAsia="仿宋" w:cs="仿宋"/>
          <w:color w:val="auto"/>
          <w:kern w:val="0"/>
          <w:sz w:val="24"/>
          <w:szCs w:val="24"/>
          <w:highlight w:val="none"/>
          <w:lang w:eastAsia="zh-CN"/>
        </w:rPr>
        <w:t>或评审小组</w:t>
      </w:r>
      <w:r>
        <w:rPr>
          <w:rFonts w:hint="eastAsia" w:ascii="仿宋" w:hAnsi="仿宋" w:eastAsia="仿宋" w:cs="仿宋"/>
          <w:color w:val="auto"/>
          <w:kern w:val="0"/>
          <w:sz w:val="24"/>
          <w:szCs w:val="24"/>
          <w:highlight w:val="none"/>
        </w:rPr>
        <w:t>依法对投标供应商的资格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文件进行审查（具体见本章“</w:t>
      </w:r>
      <w:r>
        <w:rPr>
          <w:rFonts w:hint="eastAsia" w:ascii="仿宋" w:hAnsi="仿宋" w:eastAsia="仿宋" w:cs="仿宋"/>
          <w:color w:val="auto"/>
          <w:kern w:val="0"/>
          <w:sz w:val="24"/>
          <w:szCs w:val="24"/>
          <w:highlight w:val="none"/>
          <w:lang w:val="en-US" w:eastAsia="zh-CN"/>
        </w:rPr>
        <w:t>29.3</w:t>
      </w:r>
      <w:r>
        <w:rPr>
          <w:rFonts w:hint="eastAsia" w:ascii="仿宋" w:hAnsi="仿宋" w:eastAsia="仿宋" w:cs="仿宋"/>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开启有效投标供应商的报价，公布开标一览表有关内容，</w:t>
      </w:r>
      <w:r>
        <w:rPr>
          <w:rFonts w:hint="eastAsia" w:ascii="仿宋" w:hAnsi="仿宋" w:eastAsia="仿宋" w:cs="仿宋"/>
          <w:color w:val="auto"/>
          <w:sz w:val="24"/>
          <w:szCs w:val="24"/>
          <w:highlight w:val="none"/>
          <w:lang w:bidi="zh-CN"/>
        </w:rPr>
        <w:t>并【开启签章时段】，供应商对开标纪录进行在线签章确认（不予确认的应说明理由，否则视为无异议）</w:t>
      </w:r>
      <w:r>
        <w:rPr>
          <w:rFonts w:hint="eastAsia" w:ascii="仿宋" w:hAnsi="仿宋" w:eastAsia="仿宋" w:cs="仿宋"/>
          <w:color w:val="auto"/>
          <w:kern w:val="0"/>
          <w:sz w:val="24"/>
          <w:szCs w:val="24"/>
          <w:highlight w:val="none"/>
        </w:rPr>
        <w:t>。开标结束后，由评标委员会对报价的合理性、准确性等进行审查核实</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评审结束后，采购代理机构在系统上公布评审结果。</w:t>
      </w:r>
    </w:p>
    <w:p>
      <w:pPr>
        <w:shd w:val="clear" w:color="auto" w:fill="auto"/>
        <w:snapToGrid w:val="0"/>
        <w:spacing w:line="360" w:lineRule="auto"/>
        <w:ind w:left="48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特别情况说明：</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（1）本项目采用电子交易，如遇“</w:t>
      </w:r>
      <w:r>
        <w:rPr>
          <w:rFonts w:hint="eastAsia" w:ascii="仿宋" w:hAnsi="仿宋" w:eastAsia="仿宋" w:cs="仿宋"/>
          <w:b/>
          <w:color w:val="auto"/>
          <w:kern w:val="0"/>
          <w:sz w:val="24"/>
          <w:szCs w:val="24"/>
          <w:highlight w:val="none"/>
          <w:lang w:eastAsia="zh-CN"/>
        </w:rPr>
        <w:t>新疆</w:t>
      </w:r>
      <w:r>
        <w:rPr>
          <w:rFonts w:hint="eastAsia" w:ascii="仿宋" w:hAnsi="仿宋" w:eastAsia="仿宋" w:cs="仿宋"/>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（2）开标过程中需要相关当事人进行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或盖章确认的材料将通过“政府采购云平台”进行，若因“政府采购云平台”技术问题无法进行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或盖章确认的，采购组织机构将通过电子邮件等形式予以确认，</w:t>
      </w:r>
      <w:r>
        <w:rPr>
          <w:rFonts w:hint="eastAsia" w:ascii="仿宋" w:hAnsi="仿宋" w:eastAsia="仿宋" w:cs="仿宋"/>
          <w:b/>
          <w:color w:val="auto"/>
          <w:kern w:val="0"/>
          <w:sz w:val="24"/>
          <w:szCs w:val="24"/>
          <w:highlight w:val="none"/>
          <w:u w:val="single"/>
        </w:rPr>
        <w:t>请供应商保证办理投标事宜人员电话畅通、网络在线，</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或盖章确认的时间为20分钟。如未及时</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或盖章确认的，视为无异议</w:t>
      </w:r>
      <w:r>
        <w:rPr>
          <w:rFonts w:hint="eastAsia" w:ascii="仿宋" w:hAnsi="仿宋" w:eastAsia="仿宋" w:cs="仿宋"/>
          <w:b/>
          <w:color w:val="auto"/>
          <w:kern w:val="0"/>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29.3</w:t>
      </w:r>
      <w:r>
        <w:rPr>
          <w:rFonts w:hint="eastAsia" w:ascii="仿宋" w:hAnsi="仿宋" w:eastAsia="仿宋" w:cs="仿宋"/>
          <w:b/>
          <w:color w:val="auto"/>
          <w:kern w:val="0"/>
          <w:sz w:val="24"/>
          <w:szCs w:val="24"/>
          <w:highlight w:val="none"/>
        </w:rPr>
        <w:t xml:space="preserve"> 投标供应商资格审查：</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kern w:val="0"/>
          <w:sz w:val="24"/>
          <w:szCs w:val="24"/>
          <w:highlight w:val="none"/>
        </w:rPr>
        <w:t>开标（标书信息开启）后，采购人或采购代理机构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bCs/>
          <w:color w:val="auto"/>
          <w:kern w:val="0"/>
          <w:sz w:val="24"/>
          <w:szCs w:val="24"/>
          <w:highlight w:val="none"/>
        </w:rPr>
        <w:t>首先依法对投标供应商的资格文件进行审查，审查各投标供应商的资格符合情况。</w:t>
      </w:r>
      <w:r>
        <w:rPr>
          <w:rFonts w:hint="eastAsia" w:ascii="仿宋" w:hAnsi="仿宋" w:eastAsia="仿宋" w:cs="仿宋"/>
          <w:color w:val="auto"/>
          <w:sz w:val="24"/>
          <w:szCs w:val="24"/>
          <w:highlight w:val="none"/>
        </w:rPr>
        <w:t>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w:t>
      </w:r>
      <w:r>
        <w:rPr>
          <w:rFonts w:hint="eastAsia" w:ascii="仿宋" w:hAnsi="仿宋" w:eastAsia="仿宋" w:cs="仿宋"/>
          <w:b w:val="0"/>
          <w:bCs/>
          <w:color w:val="auto"/>
          <w:kern w:val="0"/>
          <w:sz w:val="24"/>
          <w:szCs w:val="24"/>
          <w:highlight w:val="none"/>
        </w:rPr>
        <w:t>供应商</w:t>
      </w:r>
      <w:r>
        <w:rPr>
          <w:rFonts w:hint="eastAsia" w:ascii="仿宋" w:hAnsi="仿宋" w:eastAsia="仿宋" w:cs="仿宋"/>
          <w:b w:val="0"/>
          <w:bCs/>
          <w:color w:val="auto"/>
          <w:sz w:val="24"/>
          <w:szCs w:val="24"/>
          <w:highlight w:val="none"/>
        </w:rPr>
        <w:t>信用记录查询与使用：</w:t>
      </w:r>
      <w:r>
        <w:rPr>
          <w:rFonts w:hint="eastAsia" w:ascii="仿宋" w:hAnsi="仿宋" w:eastAsia="仿宋" w:cs="仿宋"/>
          <w:b w:val="0"/>
          <w:bCs/>
          <w:color w:val="auto"/>
          <w:kern w:val="0"/>
          <w:sz w:val="24"/>
          <w:szCs w:val="24"/>
          <w:highlight w:val="none"/>
        </w:rPr>
        <w:t>见《供应商须知前附表》。</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FF0000"/>
          <w:kern w:val="0"/>
          <w:szCs w:val="21"/>
          <w:highlight w:val="none"/>
          <w:lang w:val="en-US" w:eastAsia="zh-CN"/>
        </w:rPr>
        <w:t>30</w:t>
      </w:r>
      <w:r>
        <w:rPr>
          <w:rFonts w:hint="eastAsia" w:ascii="仿宋" w:hAnsi="仿宋" w:eastAsia="仿宋" w:cs="仿宋"/>
          <w:color w:val="FF0000"/>
          <w:kern w:val="0"/>
          <w:szCs w:val="21"/>
          <w:highlight w:val="none"/>
        </w:rPr>
        <w:t>％</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pPr>
        <w:widowControl/>
        <w:shd w:val="clear" w:color="auto" w:fill="auto"/>
        <w:spacing w:line="440" w:lineRule="exact"/>
        <w:ind w:firstLine="480"/>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8 起草评审报告，所有评审人员须在评审报告上</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 xml:space="preserve">确认，对自己的评审意见承担法律责任。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38．无效投标文件有下列情形之一的，投标文件按无效标处理：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投标文件内容未按招标文件规定签章或盖章的；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 xml:space="preserve"> </w:t>
      </w:r>
      <w:bookmarkStart w:id="29" w:name="_Toc469495729"/>
      <w:r>
        <w:rPr>
          <w:rFonts w:hint="eastAsia" w:ascii="仿宋" w:hAnsi="仿宋" w:eastAsia="仿宋" w:cs="仿宋"/>
          <w:b w:val="0"/>
          <w:bCs w:val="0"/>
          <w:color w:val="auto"/>
          <w:szCs w:val="21"/>
          <w:highlight w:val="none"/>
          <w:lang w:val="en-US" w:eastAsia="zh-CN"/>
        </w:rPr>
        <w:t>41.1采购结果确认（确定中标供应商）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8"/>
          <w:szCs w:val="28"/>
          <w:highlight w:val="none"/>
        </w:rPr>
        <w:t>（六）合同的授予</w:t>
      </w:r>
      <w:bookmarkEnd w:id="29"/>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0" w:name="_Toc73975842"/>
      <w:bookmarkStart w:id="31" w:name="_Toc469495730"/>
      <w:r>
        <w:rPr>
          <w:rFonts w:hint="eastAsia" w:ascii="仿宋" w:hAnsi="仿宋" w:eastAsia="仿宋" w:cs="仿宋"/>
          <w:b w:val="0"/>
          <w:bCs w:val="0"/>
          <w:color w:val="auto"/>
          <w:szCs w:val="21"/>
          <w:highlight w:val="none"/>
          <w:lang w:val="en-US" w:eastAsia="zh-CN"/>
        </w:rPr>
        <w:t>43．履约保证金</w:t>
      </w:r>
      <w:bookmarkEnd w:id="30"/>
    </w:p>
    <w:p>
      <w:pPr>
        <w:shd w:val="clear" w:color="auto" w:fill="auto"/>
        <w:spacing w:line="440" w:lineRule="exact"/>
        <w:ind w:firstLine="240" w:firstLineChars="100"/>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Cs w:val="21"/>
          <w:highlight w:val="none"/>
          <w:lang w:val="en-US" w:eastAsia="zh-CN"/>
        </w:rPr>
        <w:t xml:space="preserve">43.1 </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（鼓励以银行、保险公司出具的履约保函形式提交；若以电汇、银行转账方式提交的，必须转到采购人的指定账户）。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2" w:name="_Toc73975843"/>
      <w:r>
        <w:rPr>
          <w:rFonts w:hint="eastAsia" w:ascii="仿宋" w:hAnsi="仿宋" w:eastAsia="仿宋" w:cs="仿宋"/>
          <w:b w:val="0"/>
          <w:bCs w:val="0"/>
          <w:color w:val="auto"/>
          <w:szCs w:val="21"/>
          <w:highlight w:val="none"/>
          <w:lang w:val="en-US" w:eastAsia="zh-CN"/>
        </w:rPr>
        <w:t>44．签订合同及公告</w:t>
      </w:r>
      <w:bookmarkEnd w:id="32"/>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outlineLvl w:val="9"/>
        <w:rPr>
          <w:rFonts w:hint="eastAsia" w:ascii="仿宋" w:hAnsi="仿宋" w:eastAsia="仿宋" w:cs="仿宋"/>
          <w:b/>
          <w:bCs/>
          <w:color w:val="auto"/>
          <w:sz w:val="28"/>
          <w:szCs w:val="28"/>
          <w:highlight w:val="none"/>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（七）纪律和监督</w:t>
      </w:r>
      <w:bookmarkEnd w:id="31"/>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（八）质疑与投诉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49.5供应商有下列情形之一的，采购代理机构和阿图什市财政局，将其列入不良行为记录名单：</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outlineLvl w:val="9"/>
        <w:rPr>
          <w:rFonts w:hint="eastAsia" w:ascii="仿宋" w:hAnsi="仿宋" w:eastAsia="仿宋" w:cs="仿宋"/>
          <w:color w:val="auto"/>
          <w:sz w:val="30"/>
          <w:szCs w:val="30"/>
          <w:highlight w:val="none"/>
        </w:rPr>
      </w:pPr>
    </w:p>
    <w:p>
      <w:pPr>
        <w:shd w:val="clear" w:color="auto" w:fill="auto"/>
        <w:jc w:val="left"/>
        <w:outlineLvl w:val="9"/>
        <w:rPr>
          <w:rFonts w:hint="eastAsia" w:ascii="仿宋" w:hAnsi="仿宋" w:eastAsia="仿宋" w:cs="仿宋"/>
          <w:b/>
          <w:bCs/>
          <w:color w:val="auto"/>
          <w:sz w:val="21"/>
          <w:szCs w:val="21"/>
          <w:highlight w:val="none"/>
          <w:lang w:eastAsia="zh-CN"/>
        </w:rPr>
      </w:pPr>
    </w:p>
    <w:p>
      <w:pPr>
        <w:shd w:val="clear" w:color="auto" w:fill="auto"/>
        <w:jc w:val="left"/>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附件：</w:t>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pPr>
        <w:pStyle w:val="18"/>
        <w:outlineLvl w:val="9"/>
        <w:rPr>
          <w:rFonts w:hint="eastAsia"/>
          <w:highlight w:val="none"/>
        </w:rPr>
      </w:pP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pPr>
        <w:shd w:val="clear" w:color="auto" w:fill="auto"/>
        <w:spacing w:line="440" w:lineRule="exact"/>
        <w:ind w:firstLine="3840" w:firstLineChars="16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32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pPr>
        <w:shd w:val="clear" w:color="auto" w:fill="auto"/>
        <w:spacing w:line="440" w:lineRule="exact"/>
        <w:ind w:firstLine="24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pPr>
        <w:pStyle w:val="18"/>
        <w:outlineLvl w:val="9"/>
        <w:rPr>
          <w:rFonts w:hint="eastAsia"/>
          <w:highlight w:val="none"/>
          <w:lang w:val="en-US" w:eastAsia="zh-CN"/>
        </w:rPr>
      </w:pPr>
    </w:p>
    <w:p>
      <w:pPr>
        <w:shd w:val="clear" w:color="auto" w:fill="auto"/>
        <w:spacing w:line="440" w:lineRule="exact"/>
        <w:ind w:firstLine="24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33" w:name="_Toc17515"/>
    </w:p>
    <w:p>
      <w:pPr>
        <w:shd w:val="clear" w:color="auto" w:fill="auto"/>
        <w:ind w:left="7951" w:hanging="5760"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3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569" w:leftChars="304" w:hanging="3840" w:hangingChars="1600"/>
        <w:textAlignment w:val="auto"/>
        <w:outlineLvl w:val="9"/>
        <w:rPr>
          <w:rFonts w:hint="eastAsia" w:ascii="仿宋" w:hAnsi="仿宋" w:eastAsia="仿宋" w:cs="仿宋"/>
          <w:b/>
          <w:bCs/>
          <w:color w:val="auto"/>
          <w:sz w:val="24"/>
          <w:szCs w:val="24"/>
          <w:highlight w:val="none"/>
        </w:rPr>
      </w:pPr>
      <w:bookmarkStart w:id="34" w:name="_Toc11499"/>
      <w:r>
        <w:rPr>
          <w:rFonts w:hint="eastAsia" w:ascii="仿宋" w:hAnsi="仿宋" w:eastAsia="仿宋" w:cs="仿宋"/>
          <w:b/>
          <w:bCs/>
          <w:color w:val="auto"/>
          <w:sz w:val="24"/>
          <w:szCs w:val="24"/>
          <w:highlight w:val="none"/>
        </w:rPr>
        <w:t>质疑前置及时间要求</w:t>
      </w:r>
      <w:bookmarkEnd w:id="34"/>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sz w:val="24"/>
          <w:szCs w:val="24"/>
          <w:highlight w:val="none"/>
        </w:rPr>
        <w:t>《中华人民共和国政府采购法》</w:t>
      </w:r>
      <w:r>
        <w:rPr>
          <w:rFonts w:hint="eastAsia" w:ascii="仿宋" w:hAnsi="仿宋" w:eastAsia="仿宋" w:cs="仿宋"/>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shd w:val="clear" w:color="auto" w:fill="FFFFFF"/>
        </w:rPr>
        <w:t xml:space="preserve"> 第五十二条：供应商认为采购文件、采购过程和中标、</w:t>
      </w:r>
      <w:r>
        <w:rPr>
          <w:rFonts w:hint="eastAsia" w:ascii="仿宋" w:hAnsi="仿宋" w:eastAsia="仿宋" w:cs="仿宋"/>
          <w:color w:val="auto"/>
          <w:kern w:val="0"/>
          <w:sz w:val="24"/>
          <w:szCs w:val="24"/>
          <w:highlight w:val="none"/>
          <w:shd w:val="clear" w:color="auto" w:fill="FFFFFF"/>
          <w:lang w:eastAsia="zh-CN"/>
        </w:rPr>
        <w:t>中标</w:t>
      </w:r>
      <w:r>
        <w:rPr>
          <w:rFonts w:hint="eastAsia" w:ascii="仿宋" w:hAnsi="仿宋" w:eastAsia="仿宋" w:cs="仿宋"/>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 xml:space="preserve">   </w:t>
      </w:r>
      <w:bookmarkStart w:id="35" w:name="_Toc13508"/>
      <w:r>
        <w:rPr>
          <w:rFonts w:hint="eastAsia" w:ascii="仿宋" w:hAnsi="仿宋" w:eastAsia="仿宋" w:cs="仿宋"/>
          <w:b/>
          <w:bCs/>
          <w:color w:val="auto"/>
          <w:sz w:val="24"/>
          <w:szCs w:val="24"/>
          <w:highlight w:val="none"/>
        </w:rPr>
        <w:t>二、书面方式</w:t>
      </w:r>
      <w:bookmarkEnd w:id="35"/>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投诉书应当署名。投诉人为自然人，应当由本人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；投诉人为法人或者其他组织的，应当由法定代表人或者主要负责人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r>
        <w:rPr>
          <w:rFonts w:hint="eastAsia" w:ascii="仿宋" w:hAnsi="仿宋" w:eastAsia="仿宋" w:cs="仿宋"/>
          <w:b/>
          <w:bCs/>
          <w:color w:val="auto"/>
          <w:sz w:val="24"/>
          <w:szCs w:val="24"/>
          <w:highlight w:val="none"/>
        </w:rPr>
        <w:t xml:space="preserve">  </w:t>
      </w:r>
      <w:bookmarkStart w:id="36" w:name="_Toc5978"/>
      <w:r>
        <w:rPr>
          <w:rFonts w:hint="eastAsia" w:ascii="仿宋" w:hAnsi="仿宋" w:eastAsia="仿宋" w:cs="仿宋"/>
          <w:b/>
          <w:bCs/>
          <w:color w:val="auto"/>
          <w:sz w:val="24"/>
          <w:szCs w:val="24"/>
          <w:highlight w:val="none"/>
        </w:rPr>
        <w:t>三、虚假、恶意投诉法律责任</w:t>
      </w:r>
      <w:bookmarkEnd w:id="36"/>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shd w:val="clear" w:color="auto" w:fill="auto"/>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递交投诉书地址：</w:t>
      </w:r>
      <w:r>
        <w:rPr>
          <w:rFonts w:hint="eastAsia" w:ascii="仿宋" w:hAnsi="仿宋" w:eastAsia="仿宋" w:cs="仿宋"/>
          <w:color w:val="auto"/>
          <w:sz w:val="24"/>
          <w:szCs w:val="24"/>
          <w:highlight w:val="none"/>
          <w:lang w:val="en-US" w:eastAsia="zh-CN"/>
        </w:rPr>
        <w:t>阿图什市政府采购办</w:t>
      </w:r>
      <w:r>
        <w:rPr>
          <w:rFonts w:hint="eastAsia" w:ascii="仿宋" w:hAnsi="仿宋" w:eastAsia="仿宋" w:cs="仿宋"/>
          <w:color w:val="auto"/>
          <w:sz w:val="24"/>
          <w:szCs w:val="24"/>
          <w:highlight w:val="none"/>
        </w:rPr>
        <w:t>监管办公室</w:t>
      </w:r>
    </w:p>
    <w:p>
      <w:pPr>
        <w:shd w:val="clear" w:color="auto" w:fill="auto"/>
        <w:jc w:val="right"/>
        <w:outlineLvl w:val="9"/>
        <w:rPr>
          <w:rFonts w:hint="eastAsia" w:ascii="仿宋" w:hAnsi="仿宋" w:eastAsia="仿宋" w:cs="仿宋"/>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37"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pStyle w:val="23"/>
        <w:ind w:left="0" w:leftChars="0" w:firstLine="0" w:firstLineChars="0"/>
        <w:outlineLvl w:val="9"/>
        <w:rPr>
          <w:rFonts w:hint="eastAsia" w:ascii="仿宋" w:hAnsi="仿宋" w:eastAsia="仿宋" w:cs="仿宋"/>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9"/>
        <w:rPr>
          <w:rFonts w:hint="eastAsia" w:ascii="仿宋" w:hAnsi="仿宋" w:eastAsia="仿宋" w:cs="仿宋"/>
          <w:bCs/>
          <w:color w:val="auto"/>
          <w:sz w:val="24"/>
          <w:szCs w:val="24"/>
          <w:highlight w:val="none"/>
        </w:rPr>
      </w:pPr>
      <w:bookmarkStart w:id="38" w:name="_Toc9061"/>
      <w:r>
        <w:rPr>
          <w:rFonts w:hint="eastAsia" w:ascii="仿宋" w:hAnsi="仿宋" w:eastAsia="仿宋" w:cs="仿宋"/>
          <w:bCs/>
          <w:color w:val="auto"/>
          <w:sz w:val="24"/>
          <w:szCs w:val="24"/>
          <w:highlight w:val="none"/>
        </w:rPr>
        <w:t>一、质疑供应商基本信息</w:t>
      </w:r>
      <w:bookmarkEnd w:id="3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质疑供应商：</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39" w:name="_Toc15938"/>
      <w:r>
        <w:rPr>
          <w:rFonts w:hint="eastAsia" w:ascii="仿宋" w:hAnsi="仿宋" w:eastAsia="仿宋" w:cs="仿宋"/>
          <w:bCs/>
          <w:color w:val="auto"/>
          <w:sz w:val="24"/>
          <w:szCs w:val="24"/>
          <w:highlight w:val="none"/>
        </w:rPr>
        <w:t>二、质疑项目基本情况</w:t>
      </w:r>
      <w:bookmarkEnd w:id="3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采购文件获取日期：</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0" w:name="_Toc18271"/>
      <w:r>
        <w:rPr>
          <w:rFonts w:hint="eastAsia" w:ascii="仿宋" w:hAnsi="仿宋" w:eastAsia="仿宋" w:cs="仿宋"/>
          <w:bCs/>
          <w:color w:val="auto"/>
          <w:sz w:val="24"/>
          <w:szCs w:val="24"/>
          <w:highlight w:val="none"/>
        </w:rPr>
        <w:t>三、质疑事项具体内容</w:t>
      </w:r>
      <w:bookmarkEnd w:id="4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质疑事项1：</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1" w:name="_Toc22365"/>
      <w:r>
        <w:rPr>
          <w:rFonts w:hint="eastAsia" w:ascii="仿宋" w:hAnsi="仿宋" w:eastAsia="仿宋" w:cs="仿宋"/>
          <w:bCs/>
          <w:color w:val="auto"/>
          <w:sz w:val="24"/>
          <w:szCs w:val="24"/>
          <w:highlight w:val="none"/>
        </w:rPr>
        <w:t>四、与质疑事项相关的质疑请求</w:t>
      </w:r>
      <w:bookmarkEnd w:id="4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签字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盖章</w:t>
      </w:r>
      <w:r>
        <w:rPr>
          <w:rFonts w:hint="eastAsia" w:ascii="仿宋" w:hAnsi="仿宋" w:eastAsia="仿宋" w:cs="仿宋"/>
          <w:color w:val="auto"/>
          <w:sz w:val="24"/>
          <w:szCs w:val="24"/>
          <w:highlight w:val="none"/>
        </w:rPr>
        <w:t xml:space="preserve">)：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p>
    <w:p>
      <w:pPr>
        <w:pageBreakBefore/>
        <w:shd w:val="clear" w:color="auto" w:fill="auto"/>
        <w:spacing w:line="440" w:lineRule="exact"/>
        <w:jc w:val="center"/>
        <w:outlineLvl w:val="0"/>
        <w:rPr>
          <w:rFonts w:hint="eastAsia" w:ascii="仿宋" w:hAnsi="仿宋" w:eastAsia="仿宋" w:cs="仿宋"/>
          <w:b/>
          <w:bCs/>
          <w:color w:val="auto"/>
          <w:sz w:val="30"/>
          <w:szCs w:val="30"/>
          <w:highlight w:val="none"/>
        </w:rPr>
      </w:pPr>
      <w:bookmarkStart w:id="42" w:name="_Toc6150"/>
      <w:bookmarkStart w:id="43" w:name="_Toc469495731"/>
      <w:r>
        <w:rPr>
          <w:rFonts w:hint="eastAsia" w:ascii="仿宋" w:hAnsi="仿宋" w:eastAsia="仿宋" w:cs="仿宋"/>
          <w:b/>
          <w:bCs/>
          <w:color w:val="auto"/>
          <w:sz w:val="30"/>
          <w:szCs w:val="30"/>
          <w:highlight w:val="none"/>
        </w:rPr>
        <w:t>第三</w:t>
      </w:r>
      <w:r>
        <w:rPr>
          <w:rFonts w:hint="eastAsia" w:ascii="仿宋" w:hAnsi="仿宋" w:eastAsia="仿宋" w:cs="仿宋"/>
          <w:b/>
          <w:bCs/>
          <w:color w:val="auto"/>
          <w:sz w:val="30"/>
          <w:szCs w:val="30"/>
          <w:highlight w:val="none"/>
          <w:lang w:val="en-US" w:eastAsia="zh-CN"/>
        </w:rPr>
        <w:t>部分</w:t>
      </w:r>
      <w:r>
        <w:rPr>
          <w:rFonts w:hint="eastAsia" w:ascii="仿宋" w:hAnsi="仿宋" w:eastAsia="仿宋" w:cs="仿宋"/>
          <w:b/>
          <w:bCs/>
          <w:color w:val="auto"/>
          <w:sz w:val="30"/>
          <w:szCs w:val="30"/>
          <w:highlight w:val="none"/>
        </w:rPr>
        <w:t xml:space="preserve">  评标办法</w:t>
      </w:r>
      <w:bookmarkEnd w:id="42"/>
      <w:bookmarkEnd w:id="43"/>
    </w:p>
    <w:p>
      <w:pPr>
        <w:shd w:val="clear" w:color="auto" w:fill="auto"/>
        <w:jc w:val="center"/>
        <w:outlineLvl w:val="9"/>
        <w:rPr>
          <w:rFonts w:hint="eastAsia" w:ascii="仿宋" w:hAnsi="仿宋" w:eastAsia="仿宋" w:cs="仿宋"/>
          <w:b/>
          <w:color w:val="auto"/>
          <w:sz w:val="28"/>
          <w:szCs w:val="28"/>
          <w:highlight w:val="none"/>
        </w:rPr>
      </w:pPr>
      <w:bookmarkStart w:id="44" w:name="_Toc469495733"/>
      <w:bookmarkStart w:id="45" w:name="_Toc362983802"/>
      <w:bookmarkStart w:id="46" w:name="_Toc267320058"/>
      <w:bookmarkStart w:id="47"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1、一般规定</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1.2评标必须遵循邀请、公平、公正、诚实信用的原则。</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1.4评标按照招标文件规定的内容进行，采取符合招标文件要求的最低评标价法；</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2、评标组织机构的组成</w:t>
      </w:r>
    </w:p>
    <w:p>
      <w:pPr>
        <w:widowControl/>
        <w:shd w:val="clear" w:color="auto" w:fill="auto"/>
        <w:spacing w:line="440" w:lineRule="exact"/>
        <w:ind w:firstLine="480"/>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 w:val="24"/>
          <w:szCs w:val="24"/>
          <w:highlight w:val="none"/>
          <w:lang w:bidi="ar-SA"/>
        </w:rPr>
        <w:t>评标委员会由采购人代表和有关技术、经济等方面的专家组成，成员人数应当为5人</w:t>
      </w:r>
      <w:r>
        <w:rPr>
          <w:rFonts w:hint="eastAsia" w:ascii="仿宋" w:hAnsi="仿宋" w:eastAsia="仿宋" w:cs="仿宋"/>
          <w:color w:val="auto"/>
          <w:kern w:val="0"/>
          <w:sz w:val="24"/>
          <w:szCs w:val="24"/>
          <w:highlight w:val="none"/>
          <w:lang w:eastAsia="zh-CN" w:bidi="ar-SA"/>
        </w:rPr>
        <w:t>或</w:t>
      </w:r>
      <w:r>
        <w:rPr>
          <w:rFonts w:hint="eastAsia" w:ascii="仿宋" w:hAnsi="仿宋" w:eastAsia="仿宋" w:cs="仿宋"/>
          <w:color w:val="auto"/>
          <w:kern w:val="0"/>
          <w:sz w:val="24"/>
          <w:szCs w:val="24"/>
          <w:highlight w:val="none"/>
          <w:lang w:val="en-US" w:eastAsia="zh-CN" w:bidi="ar-SA"/>
        </w:rPr>
        <w:t>5人</w:t>
      </w:r>
      <w:r>
        <w:rPr>
          <w:rFonts w:hint="eastAsia" w:ascii="仿宋" w:hAnsi="仿宋" w:eastAsia="仿宋" w:cs="仿宋"/>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3、评标委员会职责</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3.1审查投标文件是否符合招标文件要求，并作出评价；</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3.2要求投标人对投标文件有关事项作出解释或者澄清；</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3.3推荐中标候选人名单；</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4、评标委员会义务</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4.3对评标过程和结果，以及投标人的商业秘密保密；</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4.4参与评标报告的起草；</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4.5配合有关部门的投诉处理工作；</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4.6配合招标人、招标代理机构答复投标供应商提出的质疑。</w:t>
      </w:r>
    </w:p>
    <w:p>
      <w:pPr>
        <w:keepNext w:val="0"/>
        <w:keepLines w:val="0"/>
        <w:pageBreakBefore w:val="0"/>
        <w:shd w:val="clear" w:color="auto" w:fill="auto"/>
        <w:tabs>
          <w:tab w:val="left" w:pos="1547"/>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 评标程序</w:t>
      </w:r>
    </w:p>
    <w:p>
      <w:pPr>
        <w:pStyle w:val="20"/>
        <w:keepNext w:val="0"/>
        <w:keepLines w:val="0"/>
        <w:pageBreakBefore w:val="0"/>
        <w:shd w:val="clear" w:color="auto" w:fill="auto"/>
        <w:tabs>
          <w:tab w:val="left" w:pos="720"/>
          <w:tab w:val="clear" w:pos="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bCs/>
          <w:color w:val="auto"/>
          <w:sz w:val="24"/>
          <w:szCs w:val="24"/>
          <w:highlight w:val="none"/>
          <w:lang w:bidi="ar-SA"/>
        </w:rPr>
      </w:pPr>
      <w:r>
        <w:rPr>
          <w:rFonts w:hint="eastAsia" w:ascii="仿宋" w:hAnsi="仿宋" w:eastAsia="仿宋" w:cs="仿宋"/>
          <w:bCs/>
          <w:color w:val="auto"/>
          <w:sz w:val="24"/>
          <w:szCs w:val="24"/>
          <w:highlight w:val="none"/>
          <w:lang w:bidi="ar-SA"/>
        </w:rPr>
        <w:t>5.1本次评标首先由评标委员会对投标人的投标文件进行初审，对未能通过初审的投标文件作无效标处理；</w:t>
      </w:r>
    </w:p>
    <w:p>
      <w:pPr>
        <w:keepNext w:val="0"/>
        <w:keepLines w:val="0"/>
        <w:pageBreakBefore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auto"/>
          <w:kern w:val="0"/>
          <w:sz w:val="24"/>
          <w:szCs w:val="24"/>
          <w:highlight w:val="none"/>
          <w:lang w:bidi="ar-SA"/>
        </w:rPr>
      </w:pPr>
      <w:r>
        <w:rPr>
          <w:rFonts w:hint="eastAsia" w:ascii="仿宋" w:hAnsi="仿宋" w:eastAsia="仿宋" w:cs="仿宋"/>
          <w:color w:val="auto"/>
          <w:sz w:val="24"/>
          <w:szCs w:val="24"/>
          <w:highlight w:val="none"/>
          <w:lang w:bidi="ar-SA"/>
        </w:rPr>
        <w:t>5.3依据评分标准以及各项权值，各位评委单独就每个投标人的</w:t>
      </w:r>
      <w:r>
        <w:rPr>
          <w:rFonts w:hint="eastAsia" w:ascii="仿宋" w:hAnsi="仿宋" w:eastAsia="仿宋" w:cs="仿宋"/>
          <w:color w:val="auto"/>
          <w:kern w:val="0"/>
          <w:sz w:val="24"/>
          <w:szCs w:val="24"/>
          <w:highlight w:val="none"/>
          <w:lang w:bidi="ar-SA"/>
        </w:rPr>
        <w:t>投标文件进行价格、技术、</w:t>
      </w:r>
      <w:r>
        <w:rPr>
          <w:rFonts w:hint="eastAsia" w:ascii="仿宋" w:hAnsi="仿宋" w:eastAsia="仿宋" w:cs="仿宋"/>
          <w:color w:val="auto"/>
          <w:kern w:val="0"/>
          <w:sz w:val="24"/>
          <w:szCs w:val="24"/>
          <w:highlight w:val="none"/>
          <w:lang w:bidi="ar-SA"/>
        </w:rPr>
        <w:fldChar w:fldCharType="begin"/>
      </w:r>
      <w:r>
        <w:rPr>
          <w:rFonts w:hint="eastAsia" w:ascii="仿宋" w:hAnsi="仿宋" w:eastAsia="仿宋" w:cs="仿宋"/>
          <w:color w:val="auto"/>
          <w:kern w:val="0"/>
          <w:sz w:val="24"/>
          <w:szCs w:val="24"/>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 w:val="24"/>
          <w:szCs w:val="24"/>
          <w:highlight w:val="none"/>
          <w:lang w:bidi="ar-SA"/>
        </w:rPr>
        <w:fldChar w:fldCharType="separate"/>
      </w:r>
      <w:r>
        <w:rPr>
          <w:rFonts w:hint="eastAsia" w:ascii="仿宋" w:hAnsi="仿宋" w:eastAsia="仿宋" w:cs="仿宋"/>
          <w:color w:val="auto"/>
          <w:kern w:val="0"/>
          <w:sz w:val="24"/>
          <w:szCs w:val="24"/>
          <w:highlight w:val="none"/>
          <w:lang w:bidi="ar-SA"/>
        </w:rPr>
        <w:t>财务状况</w:t>
      </w:r>
      <w:r>
        <w:rPr>
          <w:rFonts w:hint="eastAsia" w:ascii="仿宋" w:hAnsi="仿宋" w:eastAsia="仿宋" w:cs="仿宋"/>
          <w:color w:val="auto"/>
          <w:kern w:val="0"/>
          <w:sz w:val="24"/>
          <w:szCs w:val="24"/>
          <w:highlight w:val="none"/>
          <w:lang w:bidi="ar-SA"/>
        </w:rPr>
        <w:fldChar w:fldCharType="end"/>
      </w:r>
      <w:r>
        <w:rPr>
          <w:rFonts w:hint="eastAsia" w:ascii="仿宋" w:hAnsi="仿宋" w:eastAsia="仿宋" w:cs="仿宋"/>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  投标文件初审</w:t>
      </w:r>
      <w:bookmarkEnd w:id="44"/>
      <w:bookmarkEnd w:id="45"/>
    </w:p>
    <w:p>
      <w:pPr>
        <w:shd w:val="clear" w:color="auto" w:fill="auto"/>
        <w:spacing w:line="400" w:lineRule="exact"/>
        <w:ind w:firstLine="352" w:firstLineChars="147"/>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.资格性审查:</w:t>
      </w:r>
    </w:p>
    <w:p>
      <w:pPr>
        <w:shd w:val="clear" w:color="auto" w:fill="auto"/>
        <w:spacing w:line="400" w:lineRule="exact"/>
        <w:ind w:firstLine="352" w:firstLineChars="14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.1评审细则</w:t>
      </w:r>
    </w:p>
    <w:tbl>
      <w:tblPr>
        <w:tblStyle w:val="24"/>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9"/>
        <w:gridCol w:w="6940"/>
        <w:gridCol w:w="585"/>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83" w:type="dxa"/>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7729" w:type="dxa"/>
            <w:gridSpan w:val="2"/>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286" w:type="dxa"/>
            <w:gridSpan w:val="2"/>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729" w:type="dxa"/>
            <w:gridSpan w:val="2"/>
            <w:vMerge w:val="continue"/>
            <w:noWrap w:val="0"/>
            <w:vAlign w:val="top"/>
          </w:tcPr>
          <w:p>
            <w:pPr>
              <w:shd w:val="clear" w:color="auto" w:fill="auto"/>
              <w:outlineLvl w:val="9"/>
              <w:rPr>
                <w:rFonts w:hint="eastAsia" w:ascii="仿宋" w:hAnsi="仿宋" w:eastAsia="仿宋" w:cs="仿宋"/>
                <w:color w:val="auto"/>
                <w:sz w:val="24"/>
                <w:szCs w:val="24"/>
                <w:highlight w:val="none"/>
              </w:rPr>
            </w:pPr>
          </w:p>
        </w:tc>
        <w:tc>
          <w:tcPr>
            <w:tcW w:w="585"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701"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（三证合一）营业执照</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法定代表人投标需提供法定代表人资格证明书，委托代理人投标需提供法定代表人授权委托书；</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eastAsia="zh-CN" w:bidi="ar"/>
              </w:rPr>
              <w:t>投标</w:t>
            </w:r>
            <w:r>
              <w:rPr>
                <w:rFonts w:hint="eastAsia" w:ascii="仿宋" w:hAnsi="仿宋" w:eastAsia="仿宋" w:cs="仿宋"/>
                <w:color w:val="auto"/>
                <w:kern w:val="0"/>
                <w:sz w:val="24"/>
                <w:szCs w:val="24"/>
                <w:highlight w:val="none"/>
                <w:lang w:bidi="ar"/>
              </w:rPr>
              <w:t>保证金收据</w:t>
            </w:r>
            <w:r>
              <w:rPr>
                <w:rFonts w:hint="eastAsia" w:ascii="仿宋" w:hAnsi="仿宋" w:eastAsia="仿宋" w:cs="仿宋"/>
                <w:color w:val="auto"/>
                <w:kern w:val="0"/>
                <w:sz w:val="24"/>
                <w:szCs w:val="24"/>
                <w:highlight w:val="none"/>
                <w:lang w:eastAsia="zh-CN" w:bidi="ar"/>
              </w:rPr>
              <w:t>或保函等票据</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b w:val="0"/>
                <w:bCs w:val="0"/>
                <w:i w:val="0"/>
                <w:iCs w:val="0"/>
                <w:caps w:val="0"/>
                <w:color w:val="000000"/>
                <w:spacing w:val="0"/>
                <w:sz w:val="24"/>
                <w:szCs w:val="24"/>
                <w:highlight w:val="none"/>
                <w:lang w:eastAsia="zh-CN"/>
              </w:rPr>
              <w:t>投标企业须提供投标人（被授权在职人员）近期社保证明</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top"/>
          </w:tcPr>
          <w:p>
            <w:pPr>
              <w:shd w:val="clear" w:color="auto" w:fill="auto"/>
              <w:spacing w:line="440" w:lineRule="exact"/>
              <w:outlineLvl w:val="9"/>
              <w:rPr>
                <w:rFonts w:hint="eastAsia" w:ascii="仿宋" w:hAnsi="仿宋" w:eastAsia="仿宋" w:cs="仿宋"/>
                <w:color w:val="auto"/>
                <w:sz w:val="24"/>
                <w:szCs w:val="24"/>
                <w:highlight w:val="none"/>
              </w:rPr>
            </w:pPr>
          </w:p>
        </w:tc>
        <w:tc>
          <w:tcPr>
            <w:tcW w:w="6940" w:type="dxa"/>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286" w:type="dxa"/>
            <w:gridSpan w:val="2"/>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spacing w:line="400" w:lineRule="exact"/>
        <w:ind w:firstLine="578" w:firstLineChars="241"/>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40" w:firstLineChars="1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7</w:t>
      </w:r>
      <w:r>
        <w:rPr>
          <w:rFonts w:hint="eastAsia" w:ascii="仿宋" w:hAnsi="仿宋" w:eastAsia="仿宋" w:cs="仿宋"/>
          <w:b/>
          <w:color w:val="auto"/>
          <w:sz w:val="24"/>
          <w:szCs w:val="24"/>
          <w:highlight w:val="none"/>
        </w:rPr>
        <w:t>.符合性审查</w:t>
      </w:r>
    </w:p>
    <w:p>
      <w:pPr>
        <w:shd w:val="clear" w:color="auto" w:fill="auto"/>
        <w:spacing w:line="440" w:lineRule="exact"/>
        <w:ind w:firstLine="360" w:firstLineChars="1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．1评审细则</w:t>
      </w:r>
    </w:p>
    <w:tbl>
      <w:tblPr>
        <w:tblStyle w:val="24"/>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561"/>
        <w:gridCol w:w="6271"/>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trPr>
        <w:tc>
          <w:tcPr>
            <w:tcW w:w="1237"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6832"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trPr>
        <w:tc>
          <w:tcPr>
            <w:tcW w:w="1237" w:type="dxa"/>
            <w:tcBorders>
              <w:left w:val="single" w:color="auto" w:sz="4" w:space="0"/>
              <w:bottom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6832" w:type="dxa"/>
            <w:gridSpan w:val="2"/>
            <w:tcBorders>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482"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884" w:type="dxa"/>
            <w:tcBorders>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查</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准</w:t>
            </w: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 xml:space="preserve">由政府立项核准、审批的采购项目, </w:t>
            </w:r>
            <w:r>
              <w:rPr>
                <w:rFonts w:hint="eastAsia" w:ascii="仿宋" w:hAnsi="仿宋" w:eastAsia="仿宋" w:cs="仿宋"/>
                <w:color w:val="auto"/>
                <w:kern w:val="0"/>
                <w:sz w:val="24"/>
                <w:szCs w:val="24"/>
                <w:highlight w:val="none"/>
                <w:lang w:val="en-US" w:eastAsia="zh-CN" w:bidi="ar"/>
              </w:rPr>
              <w:t>投标</w:t>
            </w:r>
            <w:r>
              <w:rPr>
                <w:rFonts w:hint="eastAsia" w:ascii="仿宋" w:hAnsi="仿宋" w:eastAsia="仿宋" w:cs="仿宋"/>
                <w:color w:val="auto"/>
                <w:kern w:val="0"/>
                <w:sz w:val="24"/>
                <w:szCs w:val="24"/>
                <w:highlight w:val="none"/>
                <w:lang w:bidi="ar"/>
              </w:rPr>
              <w:t>报价</w:t>
            </w:r>
            <w:r>
              <w:rPr>
                <w:rFonts w:hint="eastAsia" w:ascii="仿宋" w:hAnsi="仿宋" w:eastAsia="仿宋" w:cs="仿宋"/>
                <w:color w:val="auto"/>
                <w:kern w:val="0"/>
                <w:sz w:val="24"/>
                <w:szCs w:val="24"/>
                <w:highlight w:val="none"/>
                <w:lang w:val="en-US" w:eastAsia="zh-CN" w:bidi="ar"/>
              </w:rPr>
              <w:t>低于</w:t>
            </w:r>
            <w:r>
              <w:rPr>
                <w:rFonts w:hint="eastAsia" w:ascii="仿宋" w:hAnsi="仿宋" w:eastAsia="仿宋" w:cs="仿宋"/>
                <w:color w:val="auto"/>
                <w:kern w:val="0"/>
                <w:sz w:val="24"/>
                <w:szCs w:val="24"/>
                <w:highlight w:val="none"/>
                <w:lang w:bidi="ar"/>
              </w:rPr>
              <w:t>设定的采购预算价的</w:t>
            </w:r>
            <w:r>
              <w:rPr>
                <w:rFonts w:hint="eastAsia" w:ascii="仿宋" w:hAnsi="仿宋" w:eastAsia="仿宋" w:cs="仿宋"/>
                <w:color w:val="auto"/>
                <w:kern w:val="0"/>
                <w:sz w:val="24"/>
                <w:szCs w:val="24"/>
                <w:highlight w:val="none"/>
                <w:lang w:eastAsia="zh-CN" w:bidi="ar"/>
              </w:rPr>
              <w:t>。</w:t>
            </w:r>
          </w:p>
        </w:tc>
        <w:tc>
          <w:tcPr>
            <w:tcW w:w="482"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c>
          <w:tcPr>
            <w:tcW w:w="884"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只有一个方案投标。</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投标文件内容齐全、无遗漏。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bottom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271" w:type="dxa"/>
            <w:tcBorders>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完成期限满足招标文件要求。</w:t>
            </w:r>
          </w:p>
        </w:tc>
        <w:tc>
          <w:tcPr>
            <w:tcW w:w="482" w:type="dxa"/>
            <w:tcBorders>
              <w:left w:val="single" w:color="auto" w:sz="4" w:space="0"/>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spacing w:val="0"/>
                <w:w w:val="100"/>
                <w:position w:val="0"/>
                <w:sz w:val="24"/>
                <w:szCs w:val="24"/>
                <w:highlight w:val="none"/>
                <w:shd w:val="clear" w:color="auto" w:fill="auto"/>
                <w:lang w:val="en-US" w:eastAsia="en-US" w:bidi="en-US"/>
              </w:rPr>
              <w:t>投标文件载明的验收标准和方法等符合招标文件的要求；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6271" w:type="dxa"/>
            <w:tcBorders>
              <w:top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投标有效期满足招标文件要求。</w:t>
            </w:r>
          </w:p>
        </w:tc>
        <w:tc>
          <w:tcPr>
            <w:tcW w:w="482" w:type="dxa"/>
            <w:tcBorders>
              <w:top w:val="single" w:color="auto" w:sz="4" w:space="0"/>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b w:val="0"/>
                <w:bCs w:val="0"/>
                <w:color w:val="auto"/>
                <w:kern w:val="0"/>
                <w:sz w:val="24"/>
                <w:szCs w:val="24"/>
                <w:highlight w:val="none"/>
                <w:lang w:bidi="ar"/>
              </w:rPr>
              <w:t>投标人详细地址、联系人、电话</w:t>
            </w:r>
            <w:r>
              <w:rPr>
                <w:rFonts w:hint="eastAsia" w:ascii="仿宋" w:hAnsi="仿宋" w:eastAsia="仿宋" w:cs="仿宋"/>
                <w:b w:val="0"/>
                <w:bCs w:val="0"/>
                <w:color w:val="auto"/>
                <w:kern w:val="0"/>
                <w:sz w:val="24"/>
                <w:szCs w:val="24"/>
                <w:highlight w:val="none"/>
                <w:lang w:eastAsia="zh-CN" w:bidi="ar"/>
              </w:rPr>
              <w:t>。</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kern w:val="0"/>
                <w:sz w:val="24"/>
                <w:szCs w:val="24"/>
                <w:highlight w:val="none"/>
                <w:lang w:eastAsia="zh-CN" w:bidi="ar"/>
              </w:rPr>
              <w:t>投标文件</w:t>
            </w:r>
            <w:r>
              <w:rPr>
                <w:rFonts w:hint="eastAsia" w:ascii="仿宋" w:hAnsi="仿宋" w:eastAsia="仿宋" w:cs="仿宋"/>
                <w:b w:val="0"/>
                <w:bCs w:val="0"/>
                <w:color w:val="auto"/>
                <w:kern w:val="0"/>
                <w:sz w:val="24"/>
                <w:szCs w:val="24"/>
                <w:highlight w:val="none"/>
                <w:lang w:bidi="ar"/>
              </w:rPr>
              <w:t>按照规定在应由企业法人或法人授权代表在所有规定签章处逐一签署及加盖单位公章的；</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不符合法律、法规和招标文件中规定的其他实质性要求。</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bidi w:val="0"/>
        <w:outlineLvl w:val="9"/>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00" w:firstLineChars="25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50" w:line="360" w:lineRule="exact"/>
        <w:jc w:val="center"/>
        <w:textAlignment w:val="auto"/>
        <w:outlineLvl w:val="9"/>
        <w:rPr>
          <w:rFonts w:hint="eastAsia" w:ascii="仿宋" w:hAnsi="仿宋" w:eastAsia="仿宋" w:cs="仿宋"/>
          <w:b/>
          <w:color w:val="auto"/>
          <w:sz w:val="24"/>
          <w:highlight w:val="none"/>
        </w:rPr>
      </w:pPr>
      <w:bookmarkStart w:id="48" w:name="_Toc362983803"/>
      <w:bookmarkStart w:id="49" w:name="_Toc469495734"/>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8"/>
      <w:bookmarkEnd w:id="49"/>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22" w:firstLineChars="192"/>
        <w:textAlignment w:val="auto"/>
        <w:outlineLvl w:val="9"/>
        <w:rPr>
          <w:rFonts w:hint="eastAsia" w:ascii="仿宋" w:hAnsi="仿宋" w:eastAsia="仿宋" w:cs="仿宋"/>
          <w:color w:val="auto"/>
          <w:sz w:val="22"/>
          <w:szCs w:val="20"/>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仿宋"/>
          <w:b/>
          <w:color w:val="auto"/>
          <w:sz w:val="24"/>
          <w:szCs w:val="24"/>
          <w:highlight w:val="none"/>
        </w:rPr>
      </w:pPr>
      <w:bookmarkStart w:id="50" w:name="_Toc469495735"/>
      <w:r>
        <w:rPr>
          <w:rFonts w:hint="eastAsia" w:ascii="仿宋" w:hAnsi="仿宋" w:eastAsia="仿宋" w:cs="仿宋"/>
          <w:b/>
          <w:color w:val="auto"/>
          <w:sz w:val="24"/>
          <w:szCs w:val="24"/>
          <w:highlight w:val="none"/>
        </w:rPr>
        <w:t>四 比较与评价</w:t>
      </w:r>
      <w:bookmarkEnd w:id="50"/>
    </w:p>
    <w:p>
      <w:pPr>
        <w:keepNext w:val="0"/>
        <w:keepLines w:val="0"/>
        <w:pageBreakBefore w:val="0"/>
        <w:widowControl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Cs w:val="21"/>
          <w:highlight w:val="none"/>
          <w:lang w:bidi="ar-SA"/>
        </w:rPr>
      </w:pPr>
      <w:bookmarkStart w:id="51" w:name="_Toc469495736"/>
      <w:bookmarkStart w:id="52" w:name="_Toc362983805"/>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ind w:firstLine="480" w:firstLineChars="200"/>
        <w:jc w:val="left"/>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（8）评分标准和细则（综合评分法评分标准）</w:t>
      </w:r>
    </w:p>
    <w:p>
      <w:pPr>
        <w:numPr>
          <w:ilvl w:val="0"/>
          <w:numId w:val="0"/>
        </w:numPr>
        <w:spacing w:line="440" w:lineRule="exact"/>
        <w:jc w:val="center"/>
        <w:outlineLvl w:val="9"/>
        <w:rPr>
          <w:rFonts w:hint="eastAsia" w:ascii="宋体" w:hAnsi="宋体" w:cs="宋体"/>
          <w:b/>
          <w:sz w:val="28"/>
          <w:szCs w:val="28"/>
          <w:highlight w:val="none"/>
        </w:rPr>
      </w:pPr>
      <w:bookmarkStart w:id="53" w:name="_Toc31252"/>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1-4包</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rPr>
        <w:t>评分标准和细则</w:t>
      </w:r>
      <w:bookmarkEnd w:id="53"/>
    </w:p>
    <w:tbl>
      <w:tblPr>
        <w:tblStyle w:val="24"/>
        <w:tblpPr w:leftFromText="180" w:rightFromText="180" w:vertAnchor="text" w:horzAnchor="page" w:tblpX="1557" w:tblpY="93"/>
        <w:tblOverlap w:val="never"/>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637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评分因素</w:t>
            </w:r>
          </w:p>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及权重</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评分标准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投标报价</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各供应商的价格得分的计算公式：采用低价优先法计算，即满足招标文件要求且投标价格最低的投标报价为评标基准价，其价格分为满分。其他投标人的价格分统一按照下列公式计算：</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投标报价得分=(评标基准价／投标报价)×价格权值×100。计算分数时四舍五入取小数点后两位,分数最高不超过30分。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评标过程中，不得去掉报价中的最低和最高报价。因落实政府采购政策进行价格调整的，以调整后的价格计算评标基准价和投标报价。</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 xml:space="preserve">技术因素 </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40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1.技术指标、参数完全符合招标文件技术指标、参数要求的得35分；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2.投标人技术指标参数中</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号参数每低于技术规格中任一条性能要求的扣3分，非</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号参数每低于技术规格中任一条性能要求的扣1分，扣完为止；</w:t>
            </w:r>
          </w:p>
          <w:p>
            <w:pPr>
              <w:keepNext w:val="0"/>
              <w:keepLines w:val="0"/>
              <w:pageBreakBefore w:val="0"/>
              <w:kinsoku/>
              <w:wordWrap/>
              <w:overflowPunct/>
              <w:topLinePunct w:val="0"/>
              <w:autoSpaceDE/>
              <w:autoSpaceDN/>
              <w:bidi w:val="0"/>
              <w:adjustRightInd/>
              <w:snapToGrid/>
              <w:spacing w:line="288" w:lineRule="auto"/>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3.投标人技术指标参数中有正偏离的，每条加1分，最多加5分（需提供检验报告或说明书予以佐证）</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trPr>
        <w:tc>
          <w:tcPr>
            <w:tcW w:w="1369" w:type="dxa"/>
            <w:vMerge w:val="restart"/>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商务因素</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进度保障措施（1）评标委员会根据投标文件对项目实施方案的完整性、技术方案说明情况等符合规定和实际等方面情况进行评议并打分；可行得3-4分，一般得1-2分，差得0分；（满分4分）（2）根据本项目具体特点及实际需求、货物质量、各个阶段进度、紧急保障措施及善后处理方案等方面情况进行评议并打分；可行得2分，一般得1分，差得0分；（满分2分）（3）根据本项目实际情况，对运输方案、货物调配、货物交接、清单安排等方面情况进行评议并打分；可行得4分，一般得2分，差得0分；（满分4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质量保障措施详尽、完备、可行；售后服务承诺全面、实施周期科学、售后服务方案合理的，需配备售后服务工程师，需提供证明材料或承诺书（含人员资质及信息等），以上内容完整、优秀的得4-6分，一般的得1-3分，未提供得0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每提供1份有效类似销售业绩得1分，满分5分。以厂家提供的近三年同类产品销售业绩证明资料如合同或中标通知书为准（需加盖单位电子印章），证明材料中需明确显示设备名称、规格型号等，未提供证明资料或无法辨识的，视为无效业绩不计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在交货期满足招标文件要求的基础上，每提前1天加0.5分，最高得3分。</w:t>
            </w:r>
          </w:p>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sz w:val="18"/>
                <w:szCs w:val="18"/>
                <w:highlight w:val="none"/>
                <w:lang w:val="en-US" w:eastAsia="zh-CN"/>
              </w:rPr>
            </w:pPr>
            <w:r>
              <w:rPr>
                <w:rFonts w:hint="eastAsia" w:ascii="宋体" w:hAnsi="宋体" w:eastAsia="宋体" w:cs="宋体"/>
                <w:color w:val="auto"/>
                <w:sz w:val="18"/>
                <w:szCs w:val="18"/>
                <w:highlight w:val="none"/>
                <w:lang w:val="en-US" w:eastAsia="zh-CN" w:bidi="ar-SA"/>
              </w:rPr>
              <w:t>质保期内，中标人包修包换不得收取任何费用。每增加一年质保期得1分，最多得3分。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投标文件页码连续、目录清晰准确、评审内容便于查找，编制内容完整、齐全、叙述严谨；标书无错页、漏页现象；由评委横向对比打分，优的得</w:t>
            </w:r>
            <w:r>
              <w:rPr>
                <w:rFonts w:hint="eastAsia" w:ascii="宋体" w:hAnsi="宋体" w:eastAsia="宋体" w:cs="宋体"/>
                <w:color w:val="auto"/>
                <w:sz w:val="18"/>
                <w:szCs w:val="18"/>
                <w:highlight w:val="none"/>
                <w:lang w:val="en-US" w:eastAsia="zh-CN" w:bidi="ar-SA"/>
              </w:rPr>
              <w:t>3</w:t>
            </w:r>
            <w:r>
              <w:rPr>
                <w:rFonts w:hint="eastAsia" w:ascii="宋体" w:hAnsi="宋体" w:eastAsia="宋体" w:cs="宋体"/>
                <w:color w:val="auto"/>
                <w:sz w:val="18"/>
                <w:szCs w:val="18"/>
                <w:highlight w:val="none"/>
                <w:lang w:eastAsia="zh-CN" w:bidi="ar-SA"/>
              </w:rPr>
              <w:t>分，良的得</w:t>
            </w:r>
            <w:r>
              <w:rPr>
                <w:rFonts w:hint="eastAsia" w:ascii="宋体" w:hAnsi="宋体" w:eastAsia="宋体" w:cs="宋体"/>
                <w:color w:val="auto"/>
                <w:sz w:val="18"/>
                <w:szCs w:val="18"/>
                <w:highlight w:val="none"/>
                <w:lang w:val="en-US" w:eastAsia="zh-CN" w:bidi="ar-SA"/>
              </w:rPr>
              <w:t>2</w:t>
            </w:r>
            <w:r>
              <w:rPr>
                <w:rFonts w:hint="eastAsia" w:ascii="宋体" w:hAnsi="宋体" w:eastAsia="宋体" w:cs="宋体"/>
                <w:color w:val="auto"/>
                <w:sz w:val="18"/>
                <w:szCs w:val="18"/>
                <w:highlight w:val="none"/>
                <w:lang w:eastAsia="zh-CN" w:bidi="ar-SA"/>
              </w:rPr>
              <w:t>分，一般的得</w:t>
            </w:r>
            <w:r>
              <w:rPr>
                <w:rFonts w:hint="eastAsia" w:ascii="宋体" w:hAnsi="宋体" w:eastAsia="宋体" w:cs="宋体"/>
                <w:color w:val="auto"/>
                <w:sz w:val="18"/>
                <w:szCs w:val="18"/>
                <w:highlight w:val="none"/>
                <w:lang w:val="en-US" w:eastAsia="zh-CN" w:bidi="ar-SA"/>
              </w:rPr>
              <w:t>1</w:t>
            </w:r>
            <w:r>
              <w:rPr>
                <w:rFonts w:hint="eastAsia" w:ascii="宋体" w:hAnsi="宋体" w:eastAsia="宋体" w:cs="宋体"/>
                <w:color w:val="auto"/>
                <w:sz w:val="18"/>
                <w:szCs w:val="18"/>
                <w:highlight w:val="none"/>
                <w:lang w:eastAsia="zh-CN" w:bidi="ar-SA"/>
              </w:rPr>
              <w:t>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w:t>
            </w:r>
          </w:p>
        </w:tc>
      </w:tr>
    </w:tbl>
    <w:p>
      <w:pPr>
        <w:spacing w:line="360" w:lineRule="auto"/>
        <w:jc w:val="left"/>
        <w:rPr>
          <w:rFonts w:hint="default" w:eastAsia="宋体"/>
          <w:highlight w:val="none"/>
          <w:lang w:val="en-US" w:eastAsia="zh-CN"/>
        </w:rPr>
      </w:pPr>
    </w:p>
    <w:p>
      <w:pPr>
        <w:pStyle w:val="31"/>
        <w:jc w:val="center"/>
        <w:outlineLvl w:val="9"/>
        <w:rPr>
          <w:rFonts w:hint="eastAsia" w:eastAsia="仿宋"/>
          <w:b/>
          <w:bCs/>
          <w:highlight w:val="none"/>
          <w:lang w:val="en-US" w:eastAsia="zh-CN"/>
        </w:rPr>
      </w:pPr>
    </w:p>
    <w:p>
      <w:pPr>
        <w:pStyle w:val="43"/>
        <w:shd w:val="clear" w:color="auto" w:fill="auto"/>
        <w:tabs>
          <w:tab w:val="left" w:pos="1701"/>
        </w:tabs>
        <w:spacing w:line="440" w:lineRule="exact"/>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pPr>
        <w:shd w:val="clear" w:color="auto" w:fill="auto"/>
        <w:spacing w:line="440" w:lineRule="exact"/>
        <w:ind w:firstLine="480" w:firstLineChars="200"/>
        <w:jc w:val="left"/>
        <w:outlineLvl w:val="9"/>
        <w:rPr>
          <w:rFonts w:hint="eastAsia"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eastAsia="zh-CN" w:bidi="ar-SA"/>
        </w:rPr>
        <w:t>。</w:t>
      </w:r>
    </w:p>
    <w:p>
      <w:pPr>
        <w:shd w:val="clear" w:color="auto" w:fill="auto"/>
        <w:spacing w:before="156" w:beforeLines="50" w:line="40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推荐中标候选人</w:t>
      </w:r>
      <w:bookmarkEnd w:id="51"/>
      <w:bookmarkEnd w:id="52"/>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6"/>
    <w:p>
      <w:pPr>
        <w:shd w:val="clear" w:color="auto" w:fill="auto"/>
        <w:snapToGrid w:val="0"/>
        <w:spacing w:line="40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pPr>
        <w:shd w:val="clear" w:color="auto" w:fill="auto"/>
        <w:snapToGrid w:val="0"/>
        <w:spacing w:line="400" w:lineRule="exact"/>
        <w:outlineLvl w:val="9"/>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val="0"/>
          <w:bCs w:val="0"/>
          <w:color w:val="auto"/>
          <w:szCs w:val="21"/>
          <w:highlight w:val="none"/>
        </w:rPr>
        <w:t>)评标专家无法查看并检验电子标书中相关资料的；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（13）投标人使用相同的MAC地址进行报名的</w:t>
      </w:r>
      <w:r>
        <w:rPr>
          <w:rFonts w:hint="eastAsia" w:ascii="仿宋" w:hAnsi="仿宋" w:eastAsia="仿宋" w:cs="仿宋"/>
          <w:color w:val="auto"/>
          <w:szCs w:val="21"/>
          <w:highlight w:val="none"/>
          <w:lang w:eastAsia="zh-CN"/>
        </w:rPr>
        <w:t>；</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、盖章不全，经评标委员会一致认定对开评标内容有实质性影响并经监督部门核准的；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）其它情形，经评标委员会委提出按无效投标处理，并经公共资源交易监督部门核准的；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p>
    <w:p>
      <w:pPr>
        <w:shd w:val="clear" w:color="auto" w:fill="auto"/>
        <w:tabs>
          <w:tab w:val="left" w:pos="1123"/>
        </w:tabs>
        <w:snapToGrid w:val="0"/>
        <w:spacing w:line="5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pageBreakBefore/>
        <w:shd w:val="clear" w:color="auto" w:fill="auto"/>
        <w:spacing w:line="360" w:lineRule="auto"/>
        <w:jc w:val="center"/>
        <w:outlineLvl w:val="9"/>
        <w:rPr>
          <w:rFonts w:hint="eastAsia" w:ascii="仿宋" w:hAnsi="仿宋" w:eastAsia="仿宋" w:cs="仿宋"/>
          <w:b/>
          <w:color w:val="auto"/>
          <w:sz w:val="32"/>
          <w:szCs w:val="32"/>
          <w:highlight w:val="none"/>
        </w:rPr>
        <w:sectPr>
          <w:footerReference r:id="rId8" w:type="default"/>
          <w:pgSz w:w="11906" w:h="16838"/>
          <w:pgMar w:top="1440" w:right="1134" w:bottom="1440" w:left="1134" w:header="851" w:footer="992" w:gutter="0"/>
          <w:pgNumType w:fmt="decimal" w:start="1"/>
          <w:cols w:space="720" w:num="1"/>
          <w:docGrid w:type="linesAndChars" w:linePitch="312" w:charSpace="0"/>
        </w:sectPr>
      </w:pPr>
      <w:bookmarkStart w:id="54" w:name="_Toc469495737"/>
      <w:bookmarkStart w:id="55" w:name="OLE_LINK4"/>
    </w:p>
    <w:p>
      <w:pPr>
        <w:pageBreakBefore/>
        <w:numPr>
          <w:ilvl w:val="0"/>
          <w:numId w:val="7"/>
        </w:numPr>
        <w:shd w:val="clear" w:color="auto" w:fill="auto"/>
        <w:spacing w:line="360" w:lineRule="auto"/>
        <w:ind w:leftChars="0" w:right="0" w:rightChars="0"/>
        <w:jc w:val="center"/>
        <w:outlineLvl w:val="0"/>
        <w:rPr>
          <w:rFonts w:hint="eastAsia" w:ascii="仿宋" w:hAnsi="仿宋" w:eastAsia="仿宋" w:cs="仿宋"/>
          <w:b/>
          <w:color w:val="auto"/>
          <w:sz w:val="30"/>
          <w:szCs w:val="30"/>
          <w:highlight w:val="none"/>
        </w:rPr>
      </w:pPr>
      <w:bookmarkStart w:id="56" w:name="_Toc29986"/>
      <w:r>
        <w:rPr>
          <w:rFonts w:hint="eastAsia" w:ascii="仿宋" w:hAnsi="仿宋" w:eastAsia="仿宋" w:cs="仿宋"/>
          <w:b/>
          <w:color w:val="auto"/>
          <w:sz w:val="30"/>
          <w:szCs w:val="30"/>
          <w:highlight w:val="none"/>
        </w:rPr>
        <w:t xml:space="preserve"> </w:t>
      </w:r>
      <w:bookmarkEnd w:id="47"/>
      <w:bookmarkEnd w:id="54"/>
      <w:r>
        <w:rPr>
          <w:rFonts w:hint="eastAsia" w:ascii="仿宋" w:hAnsi="仿宋" w:eastAsia="仿宋" w:cs="仿宋"/>
          <w:b/>
          <w:color w:val="auto"/>
          <w:sz w:val="30"/>
          <w:szCs w:val="30"/>
          <w:highlight w:val="none"/>
        </w:rPr>
        <w:t>技术规格、数量及质量要求</w:t>
      </w:r>
      <w:bookmarkEnd w:id="56"/>
    </w:p>
    <w:p>
      <w:pPr>
        <w:shd w:val="clear" w:color="auto" w:fill="auto"/>
        <w:spacing w:line="360" w:lineRule="auto"/>
        <w:ind w:firstLine="367" w:firstLineChars="150"/>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阿图什市街道办事处社区卫生服务中心项目设备采购项目(</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包)采购清单及参数</w:t>
      </w:r>
    </w:p>
    <w:p>
      <w:pPr>
        <w:jc w:val="center"/>
        <w:outlineLvl w:val="9"/>
        <w:rPr>
          <w:rFonts w:hint="eastAsia" w:ascii="仿宋" w:hAnsi="仿宋" w:eastAsia="仿宋" w:cs="仿宋"/>
          <w:color w:val="auto"/>
          <w:sz w:val="24"/>
          <w:szCs w:val="32"/>
          <w:highlight w:val="none"/>
          <w:lang w:eastAsia="zh-CN"/>
        </w:rPr>
      </w:pPr>
      <w:bookmarkStart w:id="57" w:name="_Toc267320052"/>
      <w:bookmarkStart w:id="58" w:name="_Toc340225294"/>
    </w:p>
    <w:tbl>
      <w:tblPr>
        <w:tblStyle w:val="24"/>
        <w:tblW w:w="1372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27"/>
        <w:gridCol w:w="8951"/>
        <w:gridCol w:w="1131"/>
        <w:gridCol w:w="13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方正黑体_GBK" w:hAnsi="方正黑体_GBK" w:eastAsia="方正黑体_GBK" w:cs="方正黑体_GBK"/>
                <w:i w:val="0"/>
                <w:iCs w:val="0"/>
                <w:color w:val="000000"/>
                <w:sz w:val="21"/>
                <w:szCs w:val="21"/>
                <w:highlight w:val="none"/>
                <w:u w:val="none"/>
              </w:rPr>
            </w:pPr>
            <w:r>
              <w:rPr>
                <w:rFonts w:hint="eastAsia" w:ascii="仿宋" w:hAnsi="仿宋" w:eastAsia="仿宋" w:cs="仿宋"/>
                <w:b/>
                <w:bCs/>
                <w:sz w:val="24"/>
                <w:szCs w:val="24"/>
                <w:highlight w:val="none"/>
              </w:rPr>
              <w:br w:type="page"/>
            </w:r>
            <w:r>
              <w:rPr>
                <w:rFonts w:hint="default" w:ascii="方正黑体_GBK" w:hAnsi="方正黑体_GBK" w:eastAsia="方正黑体_GBK" w:cs="方正黑体_GBK"/>
                <w:i w:val="0"/>
                <w:iCs w:val="0"/>
                <w:color w:val="000000"/>
                <w:kern w:val="0"/>
                <w:sz w:val="21"/>
                <w:szCs w:val="21"/>
                <w:highlight w:val="none"/>
                <w:u w:val="none"/>
                <w:lang w:val="en-US" w:eastAsia="zh-CN" w:bidi="ar"/>
              </w:rPr>
              <w:t>序号</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黑体_GBK" w:hAnsi="方正黑体_GBK" w:eastAsia="方正黑体_GBK" w:cs="方正黑体_GBK"/>
                <w:i w:val="0"/>
                <w:iCs w:val="0"/>
                <w:color w:val="000000"/>
                <w:sz w:val="21"/>
                <w:szCs w:val="21"/>
                <w:highlight w:val="none"/>
                <w:u w:val="none"/>
              </w:rPr>
            </w:pPr>
            <w:r>
              <w:rPr>
                <w:rFonts w:hint="default" w:ascii="方正黑体_GBK" w:hAnsi="方正黑体_GBK" w:eastAsia="方正黑体_GBK" w:cs="方正黑体_GBK"/>
                <w:i w:val="0"/>
                <w:iCs w:val="0"/>
                <w:color w:val="000000"/>
                <w:kern w:val="0"/>
                <w:sz w:val="21"/>
                <w:szCs w:val="21"/>
                <w:highlight w:val="none"/>
                <w:u w:val="none"/>
                <w:lang w:val="en-US" w:eastAsia="zh-CN" w:bidi="ar"/>
              </w:rPr>
              <w:t>名称</w:t>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黑体_GBK" w:hAnsi="方正黑体_GBK" w:eastAsia="方正黑体_GBK" w:cs="方正黑体_GBK"/>
                <w:i w:val="0"/>
                <w:iCs w:val="0"/>
                <w:color w:val="000000"/>
                <w:sz w:val="21"/>
                <w:szCs w:val="21"/>
                <w:highlight w:val="none"/>
                <w:u w:val="none"/>
              </w:rPr>
            </w:pPr>
            <w:r>
              <w:rPr>
                <w:rFonts w:hint="default" w:ascii="方正黑体_GBK" w:hAnsi="方正黑体_GBK" w:eastAsia="方正黑体_GBK" w:cs="方正黑体_GBK"/>
                <w:i w:val="0"/>
                <w:iCs w:val="0"/>
                <w:color w:val="000000"/>
                <w:kern w:val="0"/>
                <w:sz w:val="21"/>
                <w:szCs w:val="21"/>
                <w:highlight w:val="none"/>
                <w:u w:val="none"/>
                <w:lang w:val="en-US" w:eastAsia="zh-CN" w:bidi="ar"/>
              </w:rPr>
              <w:t>规格要求</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黑体_GBK" w:hAnsi="方正黑体_GBK" w:eastAsia="方正黑体_GBK" w:cs="方正黑体_GBK"/>
                <w:i w:val="0"/>
                <w:iCs w:val="0"/>
                <w:color w:val="000000"/>
                <w:sz w:val="21"/>
                <w:szCs w:val="21"/>
                <w:highlight w:val="none"/>
                <w:u w:val="none"/>
              </w:rPr>
            </w:pPr>
            <w:r>
              <w:rPr>
                <w:rFonts w:hint="default" w:ascii="方正黑体_GBK" w:hAnsi="方正黑体_GBK" w:eastAsia="方正黑体_GBK" w:cs="方正黑体_GBK"/>
                <w:i w:val="0"/>
                <w:iCs w:val="0"/>
                <w:color w:val="000000"/>
                <w:kern w:val="0"/>
                <w:sz w:val="21"/>
                <w:szCs w:val="21"/>
                <w:highlight w:val="none"/>
                <w:u w:val="none"/>
                <w:lang w:val="en-US" w:eastAsia="zh-CN" w:bidi="ar"/>
              </w:rPr>
              <w:t>数量</w:t>
            </w:r>
          </w:p>
        </w:tc>
        <w:tc>
          <w:tcPr>
            <w:tcW w:w="1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黑体_GBK" w:hAnsi="方正黑体_GBK" w:eastAsia="方正黑体_GBK" w:cs="方正黑体_GBK"/>
                <w:i w:val="0"/>
                <w:iCs w:val="0"/>
                <w:color w:val="000000"/>
                <w:sz w:val="21"/>
                <w:szCs w:val="21"/>
                <w:highlight w:val="none"/>
                <w:u w:val="none"/>
              </w:rPr>
            </w:pPr>
            <w:r>
              <w:rPr>
                <w:rFonts w:hint="default" w:ascii="方正黑体_GBK" w:hAnsi="方正黑体_GBK" w:eastAsia="方正黑体_GBK" w:cs="方正黑体_GBK"/>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（手提式）彩色超声波检测仪</w:t>
            </w:r>
            <w:r>
              <w:rPr>
                <w:rFonts w:hint="default" w:ascii="仿宋_GB2312" w:hAnsi="宋体" w:eastAsia="仿宋_GB2312" w:cs="仿宋_GB2312"/>
                <w:i w:val="0"/>
                <w:iCs w:val="0"/>
                <w:color w:val="000000"/>
                <w:sz w:val="21"/>
                <w:szCs w:val="21"/>
                <w:highlight w:val="none"/>
                <w:u w:val="none"/>
              </w:rPr>
              <w:tab/>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一、货物名称</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全数字化全身型便携式彩色多谱勒超声诊断系统</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二、产品用途说明</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适合腹部、妇科、产科、心脏、浅表组织与小器官、外周血管、颅脑、泌尿系统、儿科、矫形外科、经直肠、超声引导下介入性治疗等全身超声应用。</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三、主要规格及系统概述：</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3.1主机 彩色多谱勒超声波诊断仪包括：</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3.1.1  14.5寸医用专业彩色液晶防眩光显示器</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3.1.2  角度独立偏转技术 </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3.1.3  凸阵扩展成像技术 （提供证明图片）</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3.1.4  具有空间复合成像技术</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3.1.5  二维和彩色多谱勒双幅实时显示模式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3.1.6  二维\彩色多普勒\频谱多普勒三同步显示模式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3.1.7  可实现智能实时宽景成像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3.1.8  具有组织特征成像能够独立选择肌肉、常规、液性等成像模式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3.1.9 超声图像显示区域放大功能，放大档位2档，最大超声扫查图像显示区域10寸</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3.2 测量和分析:(B型,M型,频谱多谱勒,彩色多谱勒) </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3.2.1  一般测量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3.2.2  产科测量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3.2.3  心脏功能测量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3.2.4  自动左室定量分析</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3.2.5  外周血管血流测量分析报告功能</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3.3图像存储与(电影)回放重现单元：支持同步存储(支持单帧图像文件包含： DCM、TIFF单帧，电影文件包括：CIN、AVI、DCM)，即存储或导出图像数据的同时可以完成实时扫描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3.4 参考信号:  心电</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3.5输入/输出信号: 支持数据无线传输</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3.6全中文界面内置一体化数字化图像管理与记录装置：</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内置一体化工作站系统支持病人基本信息与单个病人图像信息同步预览</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四. 技术参数及要求</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4.1 系统通用功能</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4.1.1  监视器: 14.5寸高清晰、专业彩色液晶显示器</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4.1.2  探头接口数: 2个</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4.2  探头规格</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4.2.1 频率:  宽频带变频探头,两维、频谱和彩色独立变频（腹部）</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4.3最大扫描深度300mm（提供证明图片）</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4.4 动态范围175db可是可调，步进5db</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4.5硬盘：300G</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五、彩色多普勒：</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5.1、支持彩色多普勒血流定点测量技术（持一幅画面有6个测点以上，并具有深度显示）</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六、频谱多普勒：</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6.1、支持脉冲多普勒（PW），高脉冲重复频率（HPRF）,连续多普勒（CW）模式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6.2、取样宽度及位置范围：0.6mm~20mm</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6.3、支持二维和频谱多普勒同时偏转</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七、测量和分析：</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7.1、常规测量（距离测量、椭圆及描迹测量面积周长、体积测量）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7.2、妇科/产科专用测量及分析</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7.3、多普勒测量及分析，（自动及手动包络测量，自动计算测量参数）</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7.4、可实现实时状态下以及冻结后，对于多普勒频谱的自动描记、自动计算测量参数。</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7.5、支持对于存储数据的再测量和分析</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八、外设接口</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 8.1、4个USB2.0接口，支持一键操作，图像直接储存硬盘或移动储存设备。</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九、整机</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9.1、主机</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9.2、凸阵探头一把，线阵探头一把，相控阵探头或容积探头任选一把</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       </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幸福3台、光明4台、新城2台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rPr>
              <w:t>五分类血常规仪</w:t>
            </w:r>
            <w:r>
              <w:rPr>
                <w:rFonts w:hint="eastAsia" w:ascii="仿宋_GB2312" w:hAnsi="宋体" w:eastAsia="仿宋_GB2312" w:cs="仿宋_GB2312"/>
                <w:i w:val="0"/>
                <w:iCs w:val="0"/>
                <w:color w:val="000000"/>
                <w:sz w:val="21"/>
                <w:szCs w:val="21"/>
                <w:highlight w:val="none"/>
                <w:u w:val="none"/>
                <w:lang w:val="en-US" w:eastAsia="zh-CN"/>
              </w:rPr>
              <w:t xml:space="preserve">           </w:t>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1.检测方法及原理：半导体激光法、鞘流电阻抗法、荧光染色法、流式细胞技术。</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000000"/>
                <w:sz w:val="21"/>
                <w:szCs w:val="21"/>
                <w:highlight w:val="none"/>
                <w:u w:val="none"/>
              </w:rPr>
              <w:t>2.血液模式检测</w:t>
            </w:r>
            <w:r>
              <w:rPr>
                <w:rFonts w:hint="default" w:ascii="仿宋_GB2312" w:hAnsi="宋体" w:eastAsia="仿宋_GB2312" w:cs="仿宋_GB2312"/>
                <w:i w:val="0"/>
                <w:iCs w:val="0"/>
                <w:color w:val="auto"/>
                <w:sz w:val="21"/>
                <w:szCs w:val="21"/>
                <w:highlight w:val="none"/>
                <w:u w:val="none"/>
              </w:rPr>
              <w:t>参数：报告参数≥27个参数，19个研究参数能提供三维散点图。</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3.检测速度：CBC＋DIFF＋NRBC ≥107个样本/小时。</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auto"/>
                <w:sz w:val="21"/>
                <w:szCs w:val="21"/>
                <w:highlight w:val="none"/>
                <w:u w:val="none"/>
              </w:rPr>
              <w:t>4.标配自动进样器，自动进样器内轨</w:t>
            </w:r>
            <w:r>
              <w:rPr>
                <w:rFonts w:hint="default" w:ascii="仿宋_GB2312" w:hAnsi="宋体" w:eastAsia="仿宋_GB2312" w:cs="仿宋_GB2312"/>
                <w:i w:val="0"/>
                <w:iCs w:val="0"/>
                <w:color w:val="000000"/>
                <w:sz w:val="21"/>
                <w:szCs w:val="21"/>
                <w:highlight w:val="none"/>
                <w:u w:val="none"/>
              </w:rPr>
              <w:t>标配回退功能，并可同时选配开放进样或封闭进样装置。</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5.具有末梢血检测模式，末梢血预稀释模式也能进行白细胞五分类、有核红细胞检测，有急诊插入功能。</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6.具有全自动体液（含胸水、腹水、脑脊液和浆膜液等体液）细胞计数和对体液中的白细胞进行分类的功能；具有通过高荧光体液细胞参数对肿瘤细胞进行提示功能。</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7.使用荧光染料和半导体激光进行WBC五分类，并具有有核红细胞检测功能，并能自动进行对白细胞计数的校正。</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8.体液模式报告检测参数≥6项，研究参数≥6项。体液模式下检测速度≥38T/H。</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9.具有低值白细胞检测功能，如遇白细胞低值时自动增加计数颗粒数量来保证检测结果的准确。</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10.进样模式及样本量：手动进样小于35μl，自动穿刺进样小于80μl，预稀释模式20μl。</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11.配备原厂中文报告及数据处理系统。</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12.血液分析仪主机自带≥9.2寸大屏幕彩色液晶触摸屏。</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13.血液分析线性范围（静脉血）：白细胞：（0-500） 109/L，血小板：（0-5000）  109/L。</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000000"/>
                <w:sz w:val="21"/>
                <w:szCs w:val="21"/>
                <w:highlight w:val="none"/>
                <w:u w:val="none"/>
              </w:rPr>
              <w:t>14.可根据医院的发</w:t>
            </w:r>
            <w:r>
              <w:rPr>
                <w:rFonts w:hint="default" w:ascii="仿宋_GB2312" w:hAnsi="宋体" w:eastAsia="仿宋_GB2312" w:cs="仿宋_GB2312"/>
                <w:i w:val="0"/>
                <w:iCs w:val="0"/>
                <w:color w:val="auto"/>
                <w:sz w:val="21"/>
                <w:szCs w:val="21"/>
                <w:highlight w:val="none"/>
                <w:u w:val="none"/>
              </w:rPr>
              <w:t>展需求升级组成血液分析流水线。</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15.供应商能提供原厂配套的CFDA注册</w:t>
            </w:r>
            <w:r>
              <w:rPr>
                <w:rFonts w:hint="eastAsia" w:ascii="仿宋_GB2312" w:hAnsi="宋体" w:eastAsia="仿宋_GB2312" w:cs="仿宋_GB2312"/>
                <w:i w:val="0"/>
                <w:iCs w:val="0"/>
                <w:color w:val="auto"/>
                <w:sz w:val="21"/>
                <w:szCs w:val="21"/>
                <w:highlight w:val="none"/>
                <w:u w:val="none"/>
                <w:lang w:val="en-US" w:eastAsia="zh-CN"/>
              </w:rPr>
              <w:t>(</w:t>
            </w:r>
            <w:r>
              <w:rPr>
                <w:rFonts w:hint="default" w:ascii="仿宋_GB2312" w:hAnsi="宋体" w:eastAsia="仿宋_GB2312" w:cs="仿宋_GB2312"/>
                <w:i w:val="0"/>
                <w:iCs w:val="0"/>
                <w:color w:val="auto"/>
                <w:sz w:val="21"/>
                <w:szCs w:val="21"/>
                <w:highlight w:val="none"/>
                <w:u w:val="none"/>
              </w:rPr>
              <w:t>国家食品药品监督管理总局颁发的证书</w:t>
            </w:r>
            <w:r>
              <w:rPr>
                <w:rFonts w:hint="eastAsia" w:ascii="仿宋_GB2312" w:hAnsi="宋体" w:eastAsia="仿宋_GB2312" w:cs="仿宋_GB2312"/>
                <w:i w:val="0"/>
                <w:iCs w:val="0"/>
                <w:color w:val="auto"/>
                <w:sz w:val="21"/>
                <w:szCs w:val="21"/>
                <w:highlight w:val="none"/>
                <w:u w:val="none"/>
                <w:lang w:val="en-US" w:eastAsia="zh-CN"/>
              </w:rPr>
              <w:t>)</w:t>
            </w:r>
            <w:r>
              <w:rPr>
                <w:rFonts w:hint="default" w:ascii="仿宋_GB2312" w:hAnsi="宋体" w:eastAsia="仿宋_GB2312" w:cs="仿宋_GB2312"/>
                <w:i w:val="0"/>
                <w:iCs w:val="0"/>
                <w:color w:val="auto"/>
                <w:sz w:val="21"/>
                <w:szCs w:val="21"/>
                <w:highlight w:val="none"/>
                <w:u w:val="none"/>
              </w:rPr>
              <w:t>的质控品和校准品。</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16.运行温度：5~40℃，运行湿度：10~90℃。</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17.原厂免费提供实时在线网络室间质量控制系统，实现实时的仪器功能监控和远程维护功能</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18.★生产厂家拥有有通过CNAS认可的标准化实验室，并提供证明文件。</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auto"/>
                <w:sz w:val="21"/>
                <w:szCs w:val="21"/>
                <w:highlight w:val="none"/>
                <w:u w:val="none"/>
              </w:rPr>
              <w:t>19.★配套系统：具备原厂生产通过SFDA</w:t>
            </w:r>
            <w:r>
              <w:rPr>
                <w:rFonts w:hint="eastAsia" w:ascii="仿宋_GB2312" w:hAnsi="宋体" w:eastAsia="仿宋_GB2312" w:cs="仿宋_GB2312"/>
                <w:i w:val="0"/>
                <w:iCs w:val="0"/>
                <w:color w:val="auto"/>
                <w:sz w:val="21"/>
                <w:szCs w:val="21"/>
                <w:highlight w:val="none"/>
                <w:u w:val="none"/>
                <w:lang w:val="en-US" w:eastAsia="zh-CN"/>
              </w:rPr>
              <w:t>(</w:t>
            </w:r>
            <w:r>
              <w:rPr>
                <w:rFonts w:hint="default" w:ascii="仿宋_GB2312" w:hAnsi="宋体" w:eastAsia="仿宋_GB2312" w:cs="仿宋_GB2312"/>
                <w:i w:val="0"/>
                <w:iCs w:val="0"/>
                <w:color w:val="auto"/>
                <w:sz w:val="21"/>
                <w:szCs w:val="21"/>
                <w:highlight w:val="none"/>
                <w:u w:val="none"/>
              </w:rPr>
              <w:t>中华人民共和国国家食品药品监督管理总局</w:t>
            </w:r>
            <w:r>
              <w:rPr>
                <w:rFonts w:hint="eastAsia" w:ascii="仿宋_GB2312" w:hAnsi="宋体" w:eastAsia="仿宋_GB2312" w:cs="仿宋_GB2312"/>
                <w:i w:val="0"/>
                <w:iCs w:val="0"/>
                <w:color w:val="auto"/>
                <w:sz w:val="21"/>
                <w:szCs w:val="21"/>
                <w:highlight w:val="none"/>
                <w:u w:val="none"/>
                <w:lang w:val="en-US" w:eastAsia="zh-CN"/>
              </w:rPr>
              <w:t>)</w:t>
            </w:r>
            <w:r>
              <w:rPr>
                <w:rFonts w:hint="default" w:ascii="仿宋_GB2312" w:hAnsi="宋体" w:eastAsia="仿宋_GB2312" w:cs="仿宋_GB2312"/>
                <w:i w:val="0"/>
                <w:iCs w:val="0"/>
                <w:color w:val="auto"/>
                <w:sz w:val="21"/>
                <w:szCs w:val="21"/>
                <w:highlight w:val="none"/>
                <w:u w:val="none"/>
              </w:rPr>
              <w:t>注册的配套校准物和质控物，可直接溯源至国际参考方法，保证检测系统的可靠性，并提供证明文件。</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10台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幸福3台、光明3台、新城4台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尿液分析仪</w:t>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 一、技术要求：</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1、测定原理：反射光电比色法</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2、光源系统：采用冷光源测定系统</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3、测定速度：≥480条/h </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4、试纸项目选择：11项等</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5、可测项目：白细胞、酮体、亚硝酸盐、尿胆原、胆红素、尿蛋白、葡萄糖、比重、隐血、pH、维生素C、肌酐、尿钙、微白蛋白</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6、工作方式：可选择单条测试或连续测试</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7、显示：≥5 英寸触摸液晶显示屏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8、仪器能准确感应尿试纸条的数量</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9、自动卸条功能：能自动将测试过的试纸条卸到废料盒内</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10、重复性：分析仪反射率测试结果的变异系数≤1.82%</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11、稳定性：分析仪开机8h内，反射率测试结果的变异系数≤1.80%</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12、携带污染：检测除比重和PH外各测试项目最高浓度结果的阳性样本，随后检测阴性样本，阴性样本的结果不得出阳性</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13、打印：内置热敏打印机打印测试结果</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14、故障识别功能：能自动识别打印机错误、测试项目不正确等故障</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15、仪器能自动感应试纸条，将感应到得试纸条送入仪器内部</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16、条形码识别：可选配条形码扫描器识别条形码</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17、存储功能：≥4200个测量结果</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18、校准功能：仪器配有试纸条校准功能</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19、输出接口：仪器有串口，并口、USB端口</w:t>
            </w:r>
          </w:p>
          <w:p>
            <w:pPr>
              <w:jc w:val="both"/>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20、电源：可在100V—240V下工作</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新城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4</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rPr>
              <w:t>血红蛋白机</w:t>
            </w:r>
            <w:r>
              <w:rPr>
                <w:rFonts w:hint="eastAsia" w:ascii="仿宋_GB2312" w:hAnsi="宋体" w:eastAsia="仿宋_GB2312" w:cs="仿宋_GB2312"/>
                <w:i w:val="0"/>
                <w:iCs w:val="0"/>
                <w:color w:val="000000"/>
                <w:sz w:val="21"/>
                <w:szCs w:val="21"/>
                <w:highlight w:val="none"/>
                <w:u w:val="none"/>
                <w:lang w:val="en-US" w:eastAsia="zh-CN"/>
              </w:rPr>
              <w:t xml:space="preserve">   </w:t>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8"/>
              </w:numPr>
              <w:ind w:left="420" w:leftChars="0" w:firstLine="0" w:firstLine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测试原理:反射光度法;</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测试速度</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小于15秒</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显示结果</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Hb、HCT</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测试范围</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45g/l-256g/l</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显 示（单位制）</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g/dL、g/L、mmol/L</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存储功能</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自动储存和更新1000个样品数据</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校正功能</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Code Chip</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仪器重量</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102g（不含电池）</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外形尺寸</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127x58x25mm</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屏幕尺寸</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39x37mm</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供电电源</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市场常售电池(7号电池)</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使用环境</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10-40℃，相对湿度＜90%</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标本类型</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毛细血管血或静脉血；</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加样量</w:t>
            </w:r>
            <w:r>
              <w:rPr>
                <w:rFonts w:hint="eastAsia" w:ascii="仿宋_GB2312" w:hAnsi="宋体" w:eastAsia="仿宋_GB2312" w:cs="仿宋_GB2312"/>
                <w:i w:val="0"/>
                <w:iCs w:val="0"/>
                <w:color w:val="000000"/>
                <w:sz w:val="21"/>
                <w:szCs w:val="21"/>
                <w:highlight w:val="none"/>
                <w:u w:val="none"/>
                <w:lang w:val="en-US" w:eastAsia="zh-CN"/>
              </w:rPr>
              <w:t>:</w:t>
            </w:r>
            <w:r>
              <w:rPr>
                <w:rFonts w:hint="default" w:ascii="仿宋_GB2312" w:hAnsi="宋体" w:eastAsia="仿宋_GB2312" w:cs="仿宋_GB2312"/>
                <w:i w:val="0"/>
                <w:iCs w:val="0"/>
                <w:color w:val="000000"/>
                <w:sz w:val="21"/>
                <w:szCs w:val="21"/>
                <w:highlight w:val="none"/>
                <w:u w:val="none"/>
                <w:lang w:val="en-US" w:eastAsia="zh-CN"/>
              </w:rPr>
              <w:t>10μL；</w:t>
            </w:r>
          </w:p>
          <w:p>
            <w:pPr>
              <w:numPr>
                <w:ilvl w:val="0"/>
                <w:numId w:val="8"/>
              </w:numPr>
              <w:ind w:left="420" w:leftChars="0" w:firstLine="0" w:firstLineChars="0"/>
              <w:rPr>
                <w:rFonts w:hint="default"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000000"/>
                <w:sz w:val="21"/>
                <w:szCs w:val="21"/>
                <w:highlight w:val="none"/>
                <w:u w:val="none"/>
                <w:lang w:val="en-US" w:eastAsia="zh-CN"/>
              </w:rPr>
              <w:t>★</w:t>
            </w:r>
            <w:r>
              <w:rPr>
                <w:rFonts w:hint="eastAsia" w:ascii="仿宋_GB2312" w:hAnsi="宋体" w:eastAsia="仿宋_GB2312" w:cs="仿宋_GB2312"/>
                <w:i w:val="0"/>
                <w:iCs w:val="0"/>
                <w:color w:val="000000"/>
                <w:sz w:val="21"/>
                <w:szCs w:val="21"/>
                <w:highlight w:val="none"/>
                <w:u w:val="none"/>
                <w:lang w:val="en-US" w:eastAsia="zh-CN"/>
              </w:rPr>
              <w:t>精密度:Hb 45g/L-100g/L范围内，标准偏差（SD）应≤ 8g/L；      Hb 100g/L-256g/L范围内，变异系数（CV）应≤ 3%。</w:t>
            </w:r>
          </w:p>
          <w:p>
            <w:pPr>
              <w:numPr>
                <w:ilvl w:val="0"/>
                <w:numId w:val="8"/>
              </w:numPr>
              <w:ind w:left="420" w:leftChars="0" w:firstLine="0" w:firstLineChars="0"/>
              <w:rPr>
                <w:rFonts w:hint="eastAsia" w:ascii="仿宋_GB2312" w:hAnsi="宋体" w:eastAsia="仿宋_GB2312" w:cs="仿宋_GB2312"/>
                <w:i w:val="0"/>
                <w:iCs w:val="0"/>
                <w:color w:val="000000"/>
                <w:sz w:val="21"/>
                <w:szCs w:val="21"/>
                <w:highlight w:val="none"/>
                <w:u w:val="none"/>
                <w:lang w:val="en-US" w:eastAsia="zh-CN"/>
              </w:rPr>
            </w:pP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lang w:val="en-US" w:eastAsia="zh-CN"/>
              </w:rPr>
              <w:t>准确度</w:t>
            </w:r>
            <w:r>
              <w:rPr>
                <w:rFonts w:hint="eastAsia" w:ascii="仿宋_GB2312" w:hAnsi="宋体" w:eastAsia="仿宋_GB2312" w:cs="仿宋_GB2312"/>
                <w:i w:val="0"/>
                <w:iCs w:val="0"/>
                <w:color w:val="000000"/>
                <w:sz w:val="21"/>
                <w:szCs w:val="21"/>
                <w:highlight w:val="none"/>
                <w:u w:val="none"/>
                <w:lang w:val="en-US" w:eastAsia="zh-CN"/>
              </w:rPr>
              <w:t>:Hb 45g/L-100g/L范围内，偏差应在±10g/L范围内；</w:t>
            </w:r>
          </w:p>
          <w:p>
            <w:pPr>
              <w:numPr>
                <w:ilvl w:val="0"/>
                <w:numId w:val="0"/>
              </w:numPr>
              <w:ind w:left="420" w:left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Hb 100g/L-256g/L范围内，相对偏差应在±4%范围内。</w:t>
            </w:r>
          </w:p>
          <w:p>
            <w:pPr>
              <w:numPr>
                <w:ilvl w:val="0"/>
                <w:numId w:val="0"/>
              </w:numPr>
              <w:ind w:left="420" w:left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17.匹配试剂:血红蛋白试纸条（干式化学法）</w:t>
            </w:r>
          </w:p>
          <w:p>
            <w:pPr>
              <w:numPr>
                <w:ilvl w:val="0"/>
                <w:numId w:val="0"/>
              </w:numPr>
              <w:ind w:left="420" w:left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18贮存条件（试纸）:</w:t>
            </w:r>
            <w:r>
              <w:rPr>
                <w:rFonts w:hint="eastAsia" w:ascii="仿宋_GB2312" w:hAnsi="宋体" w:eastAsia="仿宋_GB2312" w:cs="仿宋_GB2312"/>
                <w:i w:val="0"/>
                <w:iCs w:val="0"/>
                <w:color w:val="000000"/>
                <w:sz w:val="21"/>
                <w:szCs w:val="21"/>
                <w:highlight w:val="none"/>
                <w:u w:val="none"/>
                <w:lang w:val="en-US" w:eastAsia="zh-CN"/>
              </w:rPr>
              <w:tab/>
            </w:r>
            <w:r>
              <w:rPr>
                <w:rFonts w:hint="eastAsia" w:ascii="仿宋_GB2312" w:hAnsi="宋体" w:eastAsia="仿宋_GB2312" w:cs="仿宋_GB2312"/>
                <w:i w:val="0"/>
                <w:iCs w:val="0"/>
                <w:color w:val="000000"/>
                <w:sz w:val="21"/>
                <w:szCs w:val="21"/>
                <w:highlight w:val="none"/>
                <w:u w:val="none"/>
                <w:lang w:val="en-US" w:eastAsia="zh-CN"/>
              </w:rPr>
              <w:t>2-30℃干燥处密封保存，请勿冷冻保存；</w:t>
            </w:r>
          </w:p>
          <w:p>
            <w:pPr>
              <w:numPr>
                <w:ilvl w:val="0"/>
                <w:numId w:val="0"/>
              </w:numPr>
              <w:ind w:left="420" w:left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19</w:t>
            </w:r>
            <w:r>
              <w:rPr>
                <w:rFonts w:hint="default" w:ascii="仿宋_GB2312" w:hAnsi="宋体" w:eastAsia="仿宋_GB2312" w:cs="仿宋_GB2312"/>
                <w:i w:val="0"/>
                <w:iCs w:val="0"/>
                <w:color w:val="auto"/>
                <w:sz w:val="21"/>
                <w:szCs w:val="21"/>
                <w:highlight w:val="none"/>
                <w:u w:val="none"/>
              </w:rPr>
              <w:t>★</w:t>
            </w:r>
            <w:r>
              <w:rPr>
                <w:rFonts w:hint="eastAsia" w:ascii="仿宋_GB2312" w:hAnsi="宋体" w:eastAsia="仿宋_GB2312" w:cs="仿宋_GB2312"/>
                <w:i w:val="0"/>
                <w:iCs w:val="0"/>
                <w:color w:val="000000"/>
                <w:sz w:val="21"/>
                <w:szCs w:val="21"/>
                <w:highlight w:val="none"/>
                <w:u w:val="none"/>
                <w:lang w:val="en-US" w:eastAsia="zh-CN"/>
              </w:rPr>
              <w:t>有效期（试纸）:24个月</w:t>
            </w:r>
          </w:p>
          <w:p>
            <w:pPr>
              <w:numPr>
                <w:ilvl w:val="0"/>
                <w:numId w:val="0"/>
              </w:numPr>
              <w:ind w:left="420" w:leftChars="0"/>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20质控品:原厂配置质控品（3个浓度梯度）选配</w:t>
            </w:r>
          </w:p>
          <w:p>
            <w:pPr>
              <w:numPr>
                <w:ilvl w:val="0"/>
                <w:numId w:val="0"/>
              </w:numPr>
              <w:ind w:left="420" w:leftChars="0"/>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21联机操作:USB端口</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新城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读卡机</w:t>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宋体" w:eastAsia="仿宋_GB2312" w:cs="仿宋_GB2312"/>
                <w:i w:val="0"/>
                <w:iCs w:val="0"/>
                <w:color w:val="auto"/>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1.技术标准:</w:t>
            </w:r>
            <w:r>
              <w:rPr>
                <w:rFonts w:hint="eastAsia" w:ascii="仿宋_GB2312" w:hAnsi="宋体" w:eastAsia="仿宋_GB2312" w:cs="仿宋_GB2312"/>
                <w:i w:val="0"/>
                <w:iCs w:val="0"/>
                <w:color w:val="auto"/>
                <w:sz w:val="21"/>
                <w:szCs w:val="21"/>
                <w:highlight w:val="none"/>
                <w:u w:val="none"/>
                <w:lang w:val="en-US" w:eastAsia="zh-CN"/>
              </w:rPr>
              <w:t>符合居民身份证阅读器通用技术要求</w:t>
            </w:r>
          </w:p>
          <w:p>
            <w:pPr>
              <w:rPr>
                <w:rFonts w:hint="eastAsia" w:ascii="仿宋_GB2312" w:hAnsi="宋体" w:eastAsia="仿宋_GB2312" w:cs="仿宋_GB2312"/>
                <w:i w:val="0"/>
                <w:iCs w:val="0"/>
                <w:color w:val="auto"/>
                <w:sz w:val="21"/>
                <w:szCs w:val="21"/>
                <w:highlight w:val="none"/>
                <w:u w:val="none"/>
                <w:lang w:val="en-US" w:eastAsia="zh-CN"/>
              </w:rPr>
            </w:pPr>
            <w:r>
              <w:rPr>
                <w:rFonts w:hint="eastAsia" w:ascii="仿宋_GB2312" w:hAnsi="宋体" w:eastAsia="仿宋_GB2312" w:cs="仿宋_GB2312"/>
                <w:i w:val="0"/>
                <w:iCs w:val="0"/>
                <w:color w:val="auto"/>
                <w:sz w:val="21"/>
                <w:szCs w:val="21"/>
                <w:highlight w:val="none"/>
                <w:u w:val="none"/>
                <w:lang w:val="en-US" w:eastAsia="zh-CN"/>
              </w:rPr>
              <w:t>2.天线能量输出:天线表面电磁强度(Hmax)≤7.5A/m rms;天线表面法线方向最大阅读距离处电磁强度(Hmax≥1.5A/m ms)</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auto"/>
                <w:sz w:val="21"/>
                <w:szCs w:val="21"/>
                <w:highlight w:val="none"/>
                <w:u w:val="none"/>
                <w:lang w:val="en-US" w:eastAsia="zh-CN"/>
              </w:rPr>
              <w:t>3.保密模块:身份证核查</w:t>
            </w:r>
            <w:r>
              <w:rPr>
                <w:rFonts w:hint="eastAsia" w:ascii="仿宋_GB2312" w:hAnsi="宋体" w:eastAsia="仿宋_GB2312" w:cs="仿宋_GB2312"/>
                <w:i w:val="0"/>
                <w:iCs w:val="0"/>
                <w:color w:val="000000"/>
                <w:sz w:val="21"/>
                <w:szCs w:val="21"/>
                <w:highlight w:val="none"/>
                <w:u w:val="none"/>
                <w:lang w:val="en-US" w:eastAsia="zh-CN"/>
              </w:rPr>
              <w:t>系统专用模块;      4.阅读时间:&lt;1s;    5.读卡距离:0~3cm;</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6.工作频率(fc):13.56MHz±7KHz;      7.接口:USB2.0;    8.工作温度:0℃～50℃;</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9.贮运温度:-40℃～60℃;     10相对湿度:&lt;90%;    11.贮运相对湿度:20%~93%;</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 xml:space="preserve">12.使用操作系统:Windows XP/7/8/10等常见操作系统;    </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13.开发工具:支持VC/C＃/Delphi/VB/Java等语言;</w:t>
            </w:r>
          </w:p>
          <w:p>
            <w:pPr>
              <w:rPr>
                <w:rFonts w:hint="default"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14.重量:&lt;0.37kg;       15.外形尺寸:190mm(L)×125mm(W)×40mm(H)</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新城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6</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操作台</w:t>
            </w:r>
            <w:r>
              <w:rPr>
                <w:rFonts w:hint="default" w:ascii="仿宋_GB2312" w:hAnsi="宋体" w:eastAsia="仿宋_GB2312" w:cs="仿宋_GB2312"/>
                <w:i w:val="0"/>
                <w:iCs w:val="0"/>
                <w:color w:val="000000"/>
                <w:sz w:val="21"/>
                <w:szCs w:val="21"/>
                <w:highlight w:val="none"/>
                <w:u w:val="none"/>
              </w:rPr>
              <w:tab/>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1、台面高度750mm, 长1200mm，宽600mm</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2、面25mm厚  E1级防火板</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3、箱体：优质冷轧钢板</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4、键盘托盘为金属托盘，加厚无声滑轨</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5、可拆卸式后门</w:t>
            </w:r>
          </w:p>
          <w:p>
            <w:pPr>
              <w:rPr>
                <w:rFonts w:hint="default" w:ascii="仿宋_GB2312" w:hAnsi="宋体" w:eastAsia="仿宋_GB2312" w:cs="仿宋_GB2312"/>
                <w:i w:val="0"/>
                <w:iCs w:val="0"/>
                <w:color w:val="000000"/>
                <w:sz w:val="21"/>
                <w:szCs w:val="21"/>
                <w:highlight w:val="none"/>
                <w:u w:val="none"/>
              </w:rPr>
            </w:pPr>
            <w:r>
              <w:rPr>
                <w:rFonts w:hint="eastAsia" w:ascii="仿宋_GB2312" w:hAnsi="宋体" w:eastAsia="仿宋_GB2312" w:cs="仿宋_GB2312"/>
                <w:i w:val="0"/>
                <w:iCs w:val="0"/>
                <w:color w:val="000000"/>
                <w:sz w:val="21"/>
                <w:szCs w:val="21"/>
                <w:highlight w:val="none"/>
                <w:u w:val="none"/>
                <w:lang w:val="en-US" w:eastAsia="zh-CN"/>
              </w:rPr>
              <w:t>6、防锈处理、静电喷涂。</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2个</w:t>
            </w:r>
            <w:r>
              <w:rPr>
                <w:rFonts w:hint="default" w:ascii="仿宋_GB2312" w:hAnsi="宋体" w:eastAsia="仿宋_GB2312" w:cs="仿宋_GB2312"/>
                <w:i w:val="0"/>
                <w:iCs w:val="0"/>
                <w:color w:val="000000"/>
                <w:sz w:val="21"/>
                <w:szCs w:val="21"/>
                <w:highlight w:val="none"/>
                <w:u w:val="none"/>
              </w:rPr>
              <w:tab/>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新城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7</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扫描枪</w:t>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1.扫描原理：CMOS影像式解码</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2.接口类型：USB 即插即用</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3.传输方式：无线传输</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4.电缆线长：1.8米</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5.识读精度：一维码≥4mil，二维码≥7.5mil</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6.提示方式：蜂鸣+振动+提示灯</w:t>
            </w:r>
          </w:p>
          <w:p>
            <w:pPr>
              <w:rPr>
                <w:rFonts w:hint="eastAsia" w:ascii="仿宋_GB2312" w:hAnsi="宋体" w:eastAsia="仿宋_GB2312" w:cs="仿宋_GB2312"/>
                <w:i w:val="0"/>
                <w:iCs w:val="0"/>
                <w:color w:val="000000"/>
                <w:sz w:val="21"/>
                <w:szCs w:val="21"/>
                <w:highlight w:val="none"/>
                <w:u w:val="none"/>
                <w:lang w:val="en-US" w:eastAsia="zh-CN"/>
              </w:rPr>
            </w:pPr>
            <w:r>
              <w:rPr>
                <w:rFonts w:hint="eastAsia" w:ascii="仿宋_GB2312" w:hAnsi="宋体" w:eastAsia="仿宋_GB2312" w:cs="仿宋_GB2312"/>
                <w:i w:val="0"/>
                <w:iCs w:val="0"/>
                <w:color w:val="000000"/>
                <w:sz w:val="21"/>
                <w:szCs w:val="21"/>
                <w:highlight w:val="none"/>
                <w:u w:val="none"/>
                <w:lang w:val="en-US" w:eastAsia="zh-CN"/>
              </w:rPr>
              <w:t>7.系统支持：Windows\Mac  OS linux\Andriod</w:t>
            </w:r>
          </w:p>
          <w:p>
            <w:pPr>
              <w:spacing w:line="320" w:lineRule="exact"/>
              <w:rPr>
                <w:rFonts w:hint="default" w:ascii="仿宋_GB2312" w:hAnsi="宋体" w:eastAsia="仿宋_GB2312" w:cs="仿宋_GB2312"/>
                <w:i w:val="0"/>
                <w:iCs w:val="0"/>
                <w:color w:val="000000"/>
                <w:sz w:val="21"/>
                <w:szCs w:val="21"/>
                <w:highlight w:val="none"/>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2把</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新城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8</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胎心监测仪</w:t>
            </w:r>
            <w:r>
              <w:rPr>
                <w:rFonts w:hint="default" w:ascii="仿宋_GB2312" w:hAnsi="宋体" w:eastAsia="仿宋_GB2312" w:cs="仿宋_GB2312"/>
                <w:i w:val="0"/>
                <w:iCs w:val="0"/>
                <w:color w:val="000000"/>
                <w:sz w:val="21"/>
                <w:szCs w:val="21"/>
                <w:highlight w:val="none"/>
                <w:u w:val="none"/>
              </w:rPr>
              <w:tab/>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1.手持式紧凑设计，一手掌握； </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w:t>
            </w: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rPr>
              <w:t xml:space="preserve">高亮度OLED屏幕显示胎心数字，探头工作状态及探头工作频率自动识别显示； </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3.轻巧机身设计，整机不到300g。 </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4.超声工作频率  标配3MHz±10% ，可选配2MHz±10%</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w:t>
            </w: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rPr>
              <w:t>高灵敏度超声探头，可检测9周小孕周胎儿心率；</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6.探头与主机分体设计，探头可更换</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7.超声输出强度：ISATA≤20mW/cm2； </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8.</w:t>
            </w: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rPr>
              <w:t>胎心率检测范围  50-240bpm，心率检测精度：±2bpm；分辨率：1bpm</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w:t>
            </w:r>
            <w:r>
              <w:rPr>
                <w:rFonts w:hint="default" w:ascii="仿宋_GB2312" w:hAnsi="宋体" w:eastAsia="仿宋_GB2312" w:cs="仿宋_GB2312"/>
                <w:i w:val="0"/>
                <w:iCs w:val="0"/>
                <w:color w:val="auto"/>
                <w:sz w:val="21"/>
                <w:szCs w:val="21"/>
                <w:highlight w:val="none"/>
                <w:u w:val="none"/>
              </w:rPr>
              <w:t>★</w:t>
            </w:r>
            <w:r>
              <w:rPr>
                <w:rFonts w:hint="default" w:ascii="仿宋_GB2312" w:hAnsi="宋体" w:eastAsia="仿宋_GB2312" w:cs="仿宋_GB2312"/>
                <w:i w:val="0"/>
                <w:iCs w:val="0"/>
                <w:color w:val="000000"/>
                <w:sz w:val="21"/>
                <w:szCs w:val="21"/>
                <w:highlight w:val="none"/>
                <w:u w:val="none"/>
              </w:rPr>
              <w:t>在探头表面200mm的距离处，灵敏度≥90dB</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10.电源：标配充电电池可在线待机充电，充满电连续工作时间≥10小时</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11.具有电量低提示功能；</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12.★无信号1分钟自动关机和探头归位自动关机功能；</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13.内置扬声器；</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14.★具有音频输出接口，可接驳耳机或有音频输入的录音机；</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15.可选配充电座，机器使用完可直接放充电座上进行充电；</w:t>
            </w:r>
          </w:p>
          <w:p>
            <w:pPr>
              <w:autoSpaceDE w:val="0"/>
              <w:autoSpaceDN w:val="0"/>
              <w:adjustRightInd w:val="0"/>
              <w:spacing w:line="360" w:lineRule="auto"/>
              <w:jc w:val="left"/>
              <w:rPr>
                <w:rFonts w:hint="default" w:ascii="仿宋_GB2312" w:hAnsi="宋体" w:eastAsia="仿宋_GB2312" w:cs="仿宋_GB2312"/>
                <w:i w:val="0"/>
                <w:iCs w:val="0"/>
                <w:color w:val="000000"/>
                <w:sz w:val="21"/>
                <w:szCs w:val="21"/>
                <w:highlight w:val="none"/>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6台</w:t>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光明2台、幸福2台、新城2台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9</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制氧机</w:t>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r>
              <w:rPr>
                <w:rFonts w:hint="default" w:ascii="仿宋_GB2312" w:hAnsi="宋体" w:eastAsia="仿宋_GB2312" w:cs="仿宋_GB2312"/>
                <w:i w:val="0"/>
                <w:iCs w:val="0"/>
                <w:color w:val="000000"/>
                <w:sz w:val="21"/>
                <w:szCs w:val="21"/>
                <w:highlight w:val="none"/>
                <w:u w:val="none"/>
              </w:rPr>
              <w:tab/>
            </w:r>
          </w:p>
        </w:tc>
        <w:tc>
          <w:tcPr>
            <w:tcW w:w="8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一、主要技术参数</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1、最大推荐流量：5L/min</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2、出口标称压力为零和7kPa时的流量范围：0.5~5L/min</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3、在最大推荐流量时， 施加7kPa的背压， 流量变化：±10%以内</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4、出口标称压力为零时的氧浓度(在初始开机30min内， 达到规定的浓度水平) ：最大推荐氧流量5L/min时， 氧浓度≥90%</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5、输出压力：40~70kPa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6、压缩机安全阀释放压力：250kPa±50kPa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7、噪声：≤60dB(A)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8、雾化率：≥0.1mL/min</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9、工作电源范围：AC220V±22V，50Hz±1Hz；</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额定电源：~220V，50Hz</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10、输入功率：500VA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11、净重：17.5kg</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12、外形尺寸：40×30×55(cm)</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13、海拔高度：海平面至1828米时不会降低氧浓度，从1828米至4000米时效率低于90%。</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14、安全系统：</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·电流过载或连线松脱，报警停机；</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·压缩机高温，报警停机；</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·压力、循环故障，报警停机；</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·压缩机故障，报警停机；</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·低氧浓度，报警；</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15、最短工作时间：不得低于30分钟</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16、电气分类：Ⅱ类设备，BF型应用部分</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17、工作制：连续运行</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18、防进液等级：IPX 0 </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19、正常工作条件(含氧浓度状态指示器)：</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·环境温度范围：10℃~40℃；</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·相对湿度范围：30%~75%；</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·大气压力范围：860hPa~1060hPa；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▲注意：当贮运温度低于5℃时，使用前应将设备在正常工作温度环</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 xml:space="preserve">    境中放置四小时以上。</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20、氧气输出口温度：≤46℃</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21、建议：吸氧管长度不得超过15.2米且不能折瘪。</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21、贮存和运输环境：</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·环境温度范围：-20℃~+55℃；</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·相对湿度范围：10%~93%，且无冷凝现象；</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·大气压力范围：700hPa~1060hPa；</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▲注意：制氧机应贮存在无强烈日光、无腐蚀性气体和通风良好的室内，运输时避免剧震和倒置横卧。</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22、设备类型：非AP/APG设备(不能在有与空气混合的易燃麻醉气或与氧或氧化亚氮混合的易燃麻醉气情况下使用的设备)</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二、配置清单</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1、制氧机    1台</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2、产品使用及技术说明书  1份</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3、熔丝管（T5AL250V，Φ5*20） 2只</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4、鼻氧管   1根</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5、二级过滤毛毡  1件</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000000"/>
                <w:sz w:val="21"/>
                <w:szCs w:val="21"/>
                <w:highlight w:val="none"/>
                <w:u w:val="none"/>
              </w:rPr>
              <w:t>6、雾化组</w:t>
            </w:r>
            <w:r>
              <w:rPr>
                <w:rFonts w:hint="default" w:ascii="仿宋_GB2312" w:hAnsi="宋体" w:eastAsia="仿宋_GB2312" w:cs="仿宋_GB2312"/>
                <w:i w:val="0"/>
                <w:iCs w:val="0"/>
                <w:color w:val="auto"/>
                <w:sz w:val="21"/>
                <w:szCs w:val="21"/>
                <w:highlight w:val="none"/>
                <w:u w:val="none"/>
              </w:rPr>
              <w:t>件 1套</w:t>
            </w:r>
          </w:p>
          <w:p>
            <w:pPr>
              <w:jc w:val="left"/>
              <w:rPr>
                <w:rFonts w:hint="default" w:ascii="仿宋_GB2312" w:hAnsi="宋体" w:eastAsia="仿宋_GB2312" w:cs="仿宋_GB2312"/>
                <w:i w:val="0"/>
                <w:iCs w:val="0"/>
                <w:color w:val="auto"/>
                <w:sz w:val="21"/>
                <w:szCs w:val="21"/>
                <w:highlight w:val="none"/>
                <w:u w:val="none"/>
              </w:rPr>
            </w:pPr>
            <w:r>
              <w:rPr>
                <w:rFonts w:hint="default" w:ascii="仿宋_GB2312" w:hAnsi="宋体" w:eastAsia="仿宋_GB2312" w:cs="仿宋_GB2312"/>
                <w:i w:val="0"/>
                <w:iCs w:val="0"/>
                <w:color w:val="auto"/>
                <w:sz w:val="21"/>
                <w:szCs w:val="21"/>
                <w:highlight w:val="none"/>
                <w:u w:val="none"/>
              </w:rPr>
              <w:t>7、保修卡、合格证  各1份</w:t>
            </w:r>
          </w:p>
          <w:p>
            <w:pPr>
              <w:jc w:val="left"/>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auto"/>
                <w:sz w:val="21"/>
                <w:szCs w:val="21"/>
                <w:highlight w:val="none"/>
                <w:u w:val="none"/>
              </w:rPr>
              <w:t xml:space="preserve">8、遥控器（赠品） </w:t>
            </w:r>
            <w:r>
              <w:rPr>
                <w:rFonts w:hint="default" w:ascii="仿宋_GB2312" w:hAnsi="宋体" w:eastAsia="仿宋_GB2312" w:cs="仿宋_GB2312"/>
                <w:i w:val="0"/>
                <w:iCs w:val="0"/>
                <w:color w:val="000000"/>
                <w:sz w:val="21"/>
                <w:szCs w:val="21"/>
                <w:highlight w:val="none"/>
                <w:u w:val="none"/>
              </w:rPr>
              <w:t>1只</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8台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sz w:val="21"/>
                <w:szCs w:val="21"/>
                <w:highlight w:val="none"/>
                <w:u w:val="none"/>
              </w:rPr>
              <w:t>光明5台、幸福3台</w:t>
            </w:r>
          </w:p>
        </w:tc>
      </w:tr>
    </w:tbl>
    <w:p>
      <w:pPr>
        <w:rPr>
          <w:rFonts w:hint="eastAsia" w:ascii="仿宋" w:hAnsi="仿宋" w:eastAsia="仿宋" w:cs="仿宋"/>
          <w:b/>
          <w:bCs/>
          <w:sz w:val="24"/>
          <w:szCs w:val="24"/>
          <w:highlight w:val="none"/>
        </w:rPr>
      </w:pPr>
    </w:p>
    <w:p>
      <w:pPr>
        <w:pStyle w:val="2"/>
        <w:rPr>
          <w:rFonts w:hint="eastAsia" w:eastAsia="宋体"/>
          <w:b/>
          <w:bCs/>
          <w:sz w:val="28"/>
          <w:szCs w:val="28"/>
          <w:highlight w:val="none"/>
          <w:lang w:eastAsia="zh-CN"/>
        </w:rPr>
        <w:sectPr>
          <w:headerReference r:id="rId9" w:type="default"/>
          <w:footerReference r:id="rId10" w:type="default"/>
          <w:pgSz w:w="16838" w:h="11905" w:orient="landscape"/>
          <w:pgMar w:top="1417" w:right="1440" w:bottom="1417" w:left="1440" w:header="850" w:footer="992" w:gutter="0"/>
          <w:pgNumType w:fmt="decimal"/>
          <w:cols w:space="0" w:num="1"/>
          <w:rtlGutter w:val="0"/>
          <w:docGrid w:type="linesAndChars" w:linePitch="335" w:charSpace="1057"/>
        </w:sectPr>
      </w:pPr>
      <w:r>
        <w:rPr>
          <w:rFonts w:hint="eastAsia"/>
          <w:b/>
          <w:bCs/>
          <w:sz w:val="28"/>
          <w:szCs w:val="28"/>
          <w:highlight w:val="none"/>
        </w:rPr>
        <w:t>若发现供应商所供产品与所投产品参数不符的，将上报监管部门并列入政府采购严重违法失信行为记录名单</w:t>
      </w:r>
      <w:r>
        <w:rPr>
          <w:rFonts w:hint="eastAsia"/>
          <w:b/>
          <w:bCs/>
          <w:sz w:val="28"/>
          <w:szCs w:val="28"/>
          <w:highlight w:val="none"/>
          <w:lang w:eastAsia="zh-CN"/>
        </w:rPr>
        <w:t>。</w:t>
      </w:r>
    </w:p>
    <w:p>
      <w:pPr>
        <w:spacing w:line="440" w:lineRule="exact"/>
        <w:jc w:val="left"/>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1.2包装要求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shd w:val="clear" w:color="auto" w:fill="auto"/>
        <w:spacing w:line="264" w:lineRule="auto"/>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1.3项目商务要求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lang w:eastAsia="zh-CN"/>
        </w:rPr>
      </w:pPr>
      <w:r>
        <w:rPr>
          <w:rFonts w:hint="eastAsia" w:ascii="Times New Roman" w:hAnsi="Times New Roman" w:eastAsia="仿宋" w:cs="Times New Roman"/>
          <w:b/>
          <w:bCs w:val="0"/>
          <w:szCs w:val="21"/>
          <w:highlight w:val="none"/>
          <w:lang w:eastAsia="zh-CN"/>
        </w:rPr>
        <w:t>（一）</w:t>
      </w:r>
      <w:r>
        <w:rPr>
          <w:rFonts w:hint="eastAsia" w:ascii="Times New Roman" w:hAnsi="Times New Roman" w:eastAsia="仿宋" w:cs="Times New Roman"/>
          <w:b/>
          <w:bCs w:val="0"/>
          <w:szCs w:val="21"/>
          <w:highlight w:val="none"/>
        </w:rPr>
        <w:t>实施（交货）时间 ：</w:t>
      </w:r>
      <w:r>
        <w:rPr>
          <w:rFonts w:hint="eastAsia" w:ascii="Times New Roman" w:hAnsi="Times New Roman" w:eastAsia="仿宋" w:cs="Times New Roman"/>
          <w:bCs/>
          <w:szCs w:val="21"/>
          <w:highlight w:val="none"/>
        </w:rPr>
        <w:t>合同签订后</w:t>
      </w:r>
      <w:r>
        <w:rPr>
          <w:rFonts w:hint="eastAsia" w:ascii="Times New Roman" w:hAnsi="Times New Roman" w:eastAsia="仿宋" w:cs="Times New Roman"/>
          <w:bCs/>
          <w:szCs w:val="21"/>
          <w:highlight w:val="none"/>
          <w:lang w:eastAsia="zh-CN"/>
        </w:rPr>
        <w:t>在</w:t>
      </w:r>
      <w:r>
        <w:rPr>
          <w:rFonts w:hint="eastAsia" w:eastAsia="仿宋" w:cs="Times New Roman"/>
          <w:bCs/>
          <w:szCs w:val="21"/>
          <w:highlight w:val="none"/>
          <w:lang w:val="en-US" w:eastAsia="zh-CN"/>
        </w:rPr>
        <w:t>15</w:t>
      </w:r>
      <w:r>
        <w:rPr>
          <w:rFonts w:hint="eastAsia" w:ascii="Times New Roman" w:hAnsi="Times New Roman" w:eastAsia="仿宋" w:cs="Times New Roman"/>
          <w:bCs/>
          <w:szCs w:val="21"/>
          <w:highlight w:val="none"/>
          <w:lang w:val="en-US" w:eastAsia="zh-CN"/>
        </w:rPr>
        <w:t>天</w:t>
      </w:r>
      <w:r>
        <w:rPr>
          <w:rFonts w:hint="eastAsia" w:ascii="Times New Roman" w:hAnsi="Times New Roman" w:eastAsia="仿宋" w:cs="Times New Roman"/>
          <w:bCs/>
          <w:szCs w:val="21"/>
          <w:highlight w:val="none"/>
        </w:rPr>
        <w:t>内</w:t>
      </w:r>
      <w:r>
        <w:rPr>
          <w:rFonts w:hint="eastAsia" w:ascii="Times New Roman" w:hAnsi="Times New Roman" w:eastAsia="仿宋" w:cs="Times New Roman"/>
          <w:bCs/>
          <w:szCs w:val="21"/>
          <w:highlight w:val="none"/>
          <w:lang w:eastAsia="zh-CN"/>
        </w:rPr>
        <w:t>完成供货。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
          <w:bCs w:val="0"/>
          <w:szCs w:val="21"/>
          <w:highlight w:val="none"/>
        </w:rPr>
        <w:t>（二）实施（交货）地点 ：</w:t>
      </w:r>
      <w:r>
        <w:rPr>
          <w:rFonts w:hint="eastAsia" w:ascii="Times New Roman" w:hAnsi="Times New Roman" w:eastAsia="仿宋" w:cs="Times New Roman"/>
          <w:bCs/>
          <w:szCs w:val="21"/>
          <w:highlight w:val="none"/>
        </w:rPr>
        <w:t>甲方指定地点</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（三）报价要求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本次报价为人民币报价，投标报价应包括：货物本身价格、包装费、运输费用、保险费用、</w:t>
      </w:r>
      <w:r>
        <w:rPr>
          <w:rFonts w:hint="eastAsia" w:ascii="Times New Roman" w:hAnsi="Times New Roman" w:eastAsia="仿宋" w:cs="Times New Roman"/>
          <w:bCs/>
          <w:szCs w:val="21"/>
          <w:highlight w:val="none"/>
          <w:lang w:eastAsia="zh-CN"/>
        </w:rPr>
        <w:t>安装调试费、</w:t>
      </w:r>
      <w:r>
        <w:rPr>
          <w:rFonts w:hint="eastAsia" w:ascii="Times New Roman" w:hAnsi="Times New Roman" w:eastAsia="仿宋" w:cs="Times New Roman"/>
          <w:bCs/>
          <w:szCs w:val="21"/>
          <w:highlight w:val="none"/>
        </w:rPr>
        <w:t>装卸费、损耗、税金费用、自检费、人工费、其他配件费及验收合格前和质保期内发生的一切费用、应当提供的伴随服务/售后服务费用。</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（四）质保要求</w:t>
      </w:r>
    </w:p>
    <w:p>
      <w:pPr>
        <w:shd w:val="clear" w:color="auto" w:fill="auto"/>
        <w:spacing w:line="264" w:lineRule="auto"/>
        <w:ind w:firstLine="490" w:firstLineChars="200"/>
        <w:outlineLvl w:val="9"/>
        <w:rPr>
          <w:rFonts w:hint="default" w:ascii="Times New Roman" w:hAnsi="Times New Roman" w:eastAsia="仿宋" w:cs="Times New Roman"/>
          <w:bCs/>
          <w:szCs w:val="21"/>
          <w:highlight w:val="none"/>
          <w:lang w:val="en-US" w:eastAsia="zh-CN"/>
        </w:rPr>
      </w:pPr>
      <w:r>
        <w:rPr>
          <w:rFonts w:hint="eastAsia" w:ascii="Times New Roman" w:hAnsi="Times New Roman" w:eastAsia="仿宋" w:cs="Times New Roman"/>
          <w:bCs/>
          <w:szCs w:val="21"/>
          <w:highlight w:val="none"/>
        </w:rPr>
        <w:t>1、本项目</w:t>
      </w:r>
      <w:r>
        <w:rPr>
          <w:rFonts w:hint="eastAsia" w:eastAsia="仿宋" w:cs="Times New Roman"/>
          <w:bCs/>
          <w:szCs w:val="21"/>
          <w:highlight w:val="none"/>
          <w:lang w:val="en-US" w:eastAsia="zh-CN"/>
        </w:rPr>
        <w:t>采购的所有</w:t>
      </w:r>
      <w:r>
        <w:rPr>
          <w:rFonts w:hint="eastAsia" w:ascii="Times New Roman" w:hAnsi="Times New Roman" w:eastAsia="仿宋" w:cs="Times New Roman"/>
          <w:bCs/>
          <w:szCs w:val="21"/>
          <w:highlight w:val="none"/>
          <w:lang w:eastAsia="zh-CN"/>
        </w:rPr>
        <w:t>医疗设备质保期</w:t>
      </w:r>
      <w:r>
        <w:rPr>
          <w:rFonts w:hint="eastAsia" w:eastAsia="仿宋" w:cs="Times New Roman"/>
          <w:bCs/>
          <w:szCs w:val="21"/>
          <w:highlight w:val="none"/>
          <w:lang w:val="en-US" w:eastAsia="zh-CN"/>
        </w:rPr>
        <w:t>2年，软件终身维护免费升级。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2、乙方应保证所提供的货物是全新、未使用过的原装合格正品，并完全符合国家标准和行业的相关标准。</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rPr>
        <w:t xml:space="preserve">（五）售后服务、理赔、质量技术及验收保证的承诺及其他要求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1、产品使用：甲方在使用乙方所供产品中出现问题需乙方解决时，乙方应无偿解决（退换货），维护解决不了的，乙方无条件更换。</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rPr>
      </w:pPr>
      <w:r>
        <w:rPr>
          <w:rFonts w:hint="eastAsia" w:ascii="Times New Roman" w:hAnsi="Times New Roman" w:eastAsia="仿宋" w:cs="Times New Roman"/>
          <w:bCs/>
          <w:color w:val="auto"/>
          <w:szCs w:val="21"/>
          <w:highlight w:val="none"/>
        </w:rPr>
        <w:t>2、保证产品为全新原厂设备；在调试验收后提供保修服务，保质期内有关于产品质量引发的费用，由乙方承担。保质期内由于甲方的使用不当或者是自然环境造成的，由乙方免费提供维修，维修所用的材料和配件均只收取成本价。质保期期间除更换易损件其他检查、维修提供免费维护维修。</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3、符合国家行业标准要求。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 xml:space="preserve">4、质保期内，当采购人遇到使用及技术问题电话咨询不能解决的，须在24小时内到达现场进行处理。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4.1、质保期内，设备出现故障，24小时内到达现场，一般故障8小时内修复，较大故障48小时内解决问题。每年提供不少于4次回访。</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5、交货时应提供以下技术或培训资料（如涉及）</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5.1原产地证明书(由制造厂签发)；</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5.2提供主机及配套设备的安装图纸及说明；</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5.3提供主机及配套设备使用说明书、维护手册；</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5.4备件手册、零件及易损件的图纸及相关资料；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5.5其它相关技术资料。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6、投标人设有健全的售后服务机构网点，终端售后服务机构网点有明细以便监督（包括电话、地址、店名、联系人）(附有效的证明资料；如房屋租赁合同或产权证)。如发生以下情况，及时响应并解决故障。</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7、在质保期内，如果投标人的产品技术升级，投标人应及时通知采购人，如采购人有相应要求，投标人应对采购人购买的产品进行升级服务。</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8、质保期过后，投标人应同样提供免费电话咨询服务，并应承诺提供该产品上门维护服务。</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本项目因产品性能不同，个别设备具体售后要求如下：</w:t>
      </w:r>
    </w:p>
    <w:p>
      <w:pPr>
        <w:numPr>
          <w:ilvl w:val="0"/>
          <w:numId w:val="9"/>
        </w:num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五分类血常规仪 ：有售后服务中心，并有专业维修工程师提供售后服务。</w:t>
      </w:r>
    </w:p>
    <w:p>
      <w:pPr>
        <w:numPr>
          <w:ilvl w:val="0"/>
          <w:numId w:val="9"/>
        </w:numPr>
        <w:shd w:val="clear" w:color="auto" w:fill="auto"/>
        <w:spacing w:line="264" w:lineRule="auto"/>
        <w:ind w:firstLine="490" w:firstLineChars="200"/>
        <w:outlineLvl w:val="9"/>
        <w:rPr>
          <w:rFonts w:hint="default" w:ascii="Times New Roman" w:hAnsi="Times New Roman" w:eastAsia="仿宋" w:cs="Times New Roman"/>
          <w:bCs/>
          <w:color w:val="auto"/>
          <w:szCs w:val="21"/>
          <w:highlight w:val="none"/>
          <w:lang w:val="en-US" w:eastAsia="zh-CN"/>
        </w:rPr>
      </w:pPr>
      <w:r>
        <w:rPr>
          <w:rFonts w:hint="default" w:ascii="Times New Roman" w:hAnsi="Times New Roman" w:eastAsia="仿宋" w:cs="Times New Roman"/>
          <w:bCs/>
          <w:color w:val="auto"/>
          <w:szCs w:val="21"/>
          <w:highlight w:val="none"/>
          <w:lang w:val="en-US" w:eastAsia="zh-CN"/>
        </w:rPr>
        <w:t>尿液分析仪</w:t>
      </w:r>
      <w:r>
        <w:rPr>
          <w:rFonts w:hint="eastAsia" w:ascii="Times New Roman" w:hAnsi="Times New Roman" w:eastAsia="仿宋" w:cs="Times New Roman"/>
          <w:bCs/>
          <w:color w:val="auto"/>
          <w:szCs w:val="21"/>
          <w:highlight w:val="none"/>
          <w:lang w:val="en-US" w:eastAsia="zh-CN"/>
        </w:rPr>
        <w:t>：制造商有通过药监部门注册的同品牌尿试纸、质控液 ；</w:t>
      </w:r>
    </w:p>
    <w:p>
      <w:pPr>
        <w:shd w:val="clear" w:color="auto" w:fill="auto"/>
        <w:spacing w:line="264" w:lineRule="auto"/>
        <w:ind w:firstLine="490" w:firstLineChars="200"/>
        <w:outlineLvl w:val="9"/>
        <w:rPr>
          <w:rFonts w:hint="default"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（六）付款方式</w:t>
      </w:r>
      <w:r>
        <w:rPr>
          <w:rFonts w:hint="eastAsia" w:eastAsia="仿宋" w:cs="Times New Roman"/>
          <w:b/>
          <w:bCs w:val="0"/>
          <w:color w:val="auto"/>
          <w:szCs w:val="21"/>
          <w:highlight w:val="none"/>
          <w:lang w:val="en-US" w:eastAsia="zh-CN"/>
        </w:rPr>
        <w:t>：供货完成安装调试后付全部货款的60%，验收合格设备正常运行后付剩余40%。</w:t>
      </w:r>
    </w:p>
    <w:bookmarkEnd w:id="55"/>
    <w:bookmarkEnd w:id="57"/>
    <w:bookmarkEnd w:id="58"/>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59" w:name="_Toc16945"/>
      <w:bookmarkStart w:id="60" w:name="_Toc21807"/>
      <w:bookmarkStart w:id="61" w:name="_Toc8238"/>
      <w:bookmarkStart w:id="62" w:name="_Toc469495740"/>
      <w:r>
        <w:rPr>
          <w:rFonts w:hint="eastAsia" w:ascii="Times New Roman" w:hAnsi="Times New Roman" w:eastAsia="仿宋" w:cs="Times New Roman"/>
          <w:b/>
          <w:bCs w:val="0"/>
          <w:color w:val="auto"/>
          <w:szCs w:val="21"/>
          <w:highlight w:val="none"/>
          <w:lang w:val="en-US" w:eastAsia="zh-CN"/>
        </w:rPr>
        <w:t>（七）验收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1、供应商提供的产品为全新未使用且符合相关法律法规要求的合格产品。</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2、供应商提供的产品型号、规格等与投标文件、合同规定内容完全一致，且满足采购方提出的采购需求。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3、货物到达现场后，供应商应在使用单位人员在场情况下当面共同清点、检查，作出检查记录，双方签字确认。</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4、货物验收时，供应商向采购人提供生产厂家出具的验收报告、合格证、厂家资格证件等相关文件。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5、供应商提供的货物未达到招标文件规定要求，且对采购人造成损失的，由供应商承担一切责任，并赔偿所造成的损失。</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（八） 知识产权</w:t>
      </w:r>
      <w:bookmarkEnd w:id="59"/>
      <w:bookmarkEnd w:id="60"/>
      <w:bookmarkEnd w:id="61"/>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63" w:name="_Toc7598"/>
      <w:bookmarkStart w:id="64" w:name="_Toc12239"/>
      <w:bookmarkStart w:id="65" w:name="_Toc20832"/>
      <w:bookmarkStart w:id="66" w:name="_Toc12840_WPSOffice_Level1"/>
      <w:bookmarkStart w:id="67" w:name="_Toc439255252"/>
      <w:bookmarkStart w:id="68" w:name="_Toc267320054"/>
      <w:r>
        <w:rPr>
          <w:rFonts w:hint="eastAsia" w:ascii="Times New Roman" w:hAnsi="Times New Roman" w:eastAsia="仿宋" w:cs="Times New Roman"/>
          <w:b/>
          <w:bCs w:val="0"/>
          <w:color w:val="auto"/>
          <w:szCs w:val="21"/>
          <w:highlight w:val="none"/>
          <w:lang w:val="en-US" w:eastAsia="zh-CN"/>
        </w:rPr>
        <w:t>（九） 其他</w:t>
      </w:r>
      <w:bookmarkEnd w:id="63"/>
      <w:bookmarkEnd w:id="64"/>
      <w:bookmarkEnd w:id="65"/>
    </w:p>
    <w:bookmarkEnd w:id="66"/>
    <w:bookmarkEnd w:id="67"/>
    <w:bookmarkEnd w:id="68"/>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1、投标人必须在投标文件中对以上条款和服务承诺明确列出，承诺内容必须达到本篇及招标文件其他条款的要求。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2、其他未尽事宜由供需双方在采购合同中详细约定。</w:t>
      </w:r>
    </w:p>
    <w:bookmarkEnd w:id="62"/>
    <w:p>
      <w:pPr>
        <w:numPr>
          <w:ilvl w:val="0"/>
          <w:numId w:val="0"/>
        </w:numPr>
        <w:spacing w:line="360" w:lineRule="auto"/>
        <w:ind w:leftChars="0" w:right="0" w:rightChars="0"/>
        <w:jc w:val="center"/>
        <w:outlineLvl w:val="9"/>
        <w:rPr>
          <w:rFonts w:hint="eastAsia" w:ascii="仿宋" w:hAnsi="仿宋" w:eastAsia="仿宋" w:cs="仿宋"/>
          <w:b/>
          <w:bCs/>
          <w:color w:val="auto"/>
          <w:sz w:val="36"/>
          <w:szCs w:val="36"/>
          <w:highlight w:val="none"/>
          <w:lang w:eastAsia="zh-CN"/>
        </w:rPr>
      </w:pPr>
    </w:p>
    <w:p>
      <w:pPr>
        <w:pStyle w:val="2"/>
        <w:outlineLvl w:val="9"/>
        <w:rPr>
          <w:rFonts w:hint="eastAsia"/>
          <w:highlight w:val="none"/>
          <w:lang w:eastAsia="zh-CN"/>
        </w:rPr>
      </w:pPr>
    </w:p>
    <w:p>
      <w:pP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br w:type="page"/>
      </w:r>
    </w:p>
    <w:p>
      <w:pPr>
        <w:keepNext w:val="0"/>
        <w:keepLines w:val="0"/>
        <w:pageBreakBefore w:val="0"/>
        <w:numPr>
          <w:ilvl w:val="0"/>
          <w:numId w:val="0"/>
        </w:numPr>
        <w:kinsoku/>
        <w:wordWrap/>
        <w:overflowPunct/>
        <w:topLinePunct w:val="0"/>
        <w:autoSpaceDE/>
        <w:autoSpaceDN/>
        <w:bidi w:val="0"/>
        <w:adjustRightInd/>
        <w:spacing w:line="400" w:lineRule="exact"/>
        <w:ind w:leftChars="0" w:right="0" w:rightChars="0"/>
        <w:jc w:val="center"/>
        <w:outlineLvl w:val="0"/>
        <w:rPr>
          <w:rFonts w:hint="eastAsia" w:ascii="仿宋" w:hAnsi="仿宋" w:eastAsia="仿宋" w:cs="仿宋"/>
          <w:b/>
          <w:bCs/>
          <w:color w:val="auto"/>
          <w:sz w:val="36"/>
          <w:szCs w:val="36"/>
          <w:highlight w:val="none"/>
        </w:rPr>
      </w:pPr>
      <w:bookmarkStart w:id="69" w:name="_Toc30467"/>
      <w:bookmarkStart w:id="70" w:name="_Toc27593"/>
      <w:r>
        <w:rPr>
          <w:rFonts w:hint="eastAsia" w:ascii="仿宋" w:hAnsi="仿宋" w:eastAsia="仿宋" w:cs="仿宋"/>
          <w:b/>
          <w:bCs/>
          <w:color w:val="auto"/>
          <w:sz w:val="36"/>
          <w:szCs w:val="36"/>
          <w:highlight w:val="none"/>
          <w:lang w:eastAsia="zh-CN"/>
        </w:rPr>
        <w:t>第五</w:t>
      </w:r>
      <w:r>
        <w:rPr>
          <w:rFonts w:hint="eastAsia" w:ascii="仿宋" w:hAnsi="仿宋" w:eastAsia="仿宋" w:cs="仿宋"/>
          <w:b/>
          <w:bCs/>
          <w:color w:val="auto"/>
          <w:sz w:val="36"/>
          <w:szCs w:val="36"/>
          <w:highlight w:val="none"/>
          <w:lang w:val="en-US" w:eastAsia="zh-CN"/>
        </w:rPr>
        <w:t xml:space="preserve">部分 </w:t>
      </w:r>
      <w:r>
        <w:rPr>
          <w:rFonts w:hint="eastAsia" w:ascii="仿宋" w:hAnsi="仿宋" w:eastAsia="仿宋" w:cs="仿宋"/>
          <w:b/>
          <w:bCs/>
          <w:color w:val="auto"/>
          <w:sz w:val="36"/>
          <w:szCs w:val="36"/>
          <w:highlight w:val="none"/>
        </w:rPr>
        <w:t>合同条款及格式</w:t>
      </w:r>
      <w:bookmarkEnd w:id="69"/>
      <w:bookmarkEnd w:id="70"/>
    </w:p>
    <w:p>
      <w:pPr>
        <w:keepNext w:val="0"/>
        <w:keepLines w:val="0"/>
        <w:pageBreakBefore w:val="0"/>
        <w:kinsoku/>
        <w:wordWrap/>
        <w:overflowPunct/>
        <w:topLinePunct w:val="0"/>
        <w:autoSpaceDE/>
        <w:autoSpaceDN/>
        <w:bidi w:val="0"/>
        <w:adjustRightInd/>
        <w:spacing w:line="400" w:lineRule="exact"/>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（本合同为合同样稿，最终稿由供需双方协商后确定</w:t>
      </w:r>
      <w:r>
        <w:rPr>
          <w:rFonts w:hint="eastAsia" w:ascii="仿宋" w:hAnsi="仿宋" w:eastAsia="仿宋" w:cs="仿宋"/>
          <w:b/>
          <w:bCs/>
          <w:color w:val="auto"/>
          <w:sz w:val="24"/>
          <w:szCs w:val="24"/>
          <w:highlight w:val="none"/>
          <w:lang w:eastAsia="zh-CN"/>
        </w:rPr>
        <w:t>）</w:t>
      </w:r>
    </w:p>
    <w:p>
      <w:pPr>
        <w:pStyle w:val="18"/>
        <w:keepNext w:val="0"/>
        <w:keepLines w:val="0"/>
        <w:pageBreakBefore w:val="0"/>
        <w:kinsoku/>
        <w:wordWrap/>
        <w:overflowPunct/>
        <w:topLinePunct w:val="0"/>
        <w:autoSpaceDE/>
        <w:autoSpaceDN/>
        <w:bidi w:val="0"/>
        <w:adjustRightInd/>
        <w:spacing w:line="400" w:lineRule="exact"/>
        <w:outlineLvl w:val="9"/>
        <w:rPr>
          <w:rFonts w:hint="eastAsia"/>
          <w:highlight w:val="none"/>
        </w:rPr>
      </w:pP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00" w:lineRule="exact"/>
        <w:ind w:leftChars="0" w:right="0" w:rightChars="0"/>
        <w:jc w:val="center"/>
        <w:textAlignment w:val="baseline"/>
        <w:outlineLvl w:val="9"/>
        <w:rPr>
          <w:rFonts w:hint="eastAsia" w:ascii="黑体" w:hAnsi="黑体" w:eastAsia="黑体" w:cs="黑体"/>
          <w:b/>
          <w:color w:val="auto"/>
          <w:sz w:val="28"/>
          <w:szCs w:val="28"/>
          <w:highlight w:val="none"/>
        </w:rPr>
      </w:pPr>
      <w:bookmarkStart w:id="71" w:name="_Toc469495741"/>
      <w:r>
        <w:rPr>
          <w:rFonts w:hint="eastAsia" w:ascii="黑体" w:hAnsi="黑体" w:eastAsia="黑体" w:cs="黑体"/>
          <w:b/>
          <w:color w:val="auto"/>
          <w:sz w:val="28"/>
          <w:szCs w:val="28"/>
          <w:highlight w:val="none"/>
        </w:rPr>
        <w:t>合同协议书</w:t>
      </w:r>
      <w:bookmarkEnd w:id="71"/>
    </w:p>
    <w:p>
      <w:pPr>
        <w:keepNext w:val="0"/>
        <w:keepLines w:val="0"/>
        <w:pageBreakBefore w:val="0"/>
        <w:shd w:val="clear" w:color="auto" w:fill="auto"/>
        <w:kinsoku/>
        <w:wordWrap/>
        <w:overflowPunct/>
        <w:topLinePunct w:val="0"/>
        <w:autoSpaceDE/>
        <w:bidi w:val="0"/>
        <w:adjustRightInd/>
        <w:snapToGrid/>
        <w:spacing w:line="400" w:lineRule="exact"/>
        <w:ind w:firstLine="2069" w:firstLineChars="845"/>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合同名称   </w:t>
      </w:r>
      <w:r>
        <w:rPr>
          <w:rFonts w:hint="eastAsia" w:ascii="仿宋" w:hAnsi="仿宋" w:eastAsia="仿宋" w:cs="仿宋"/>
          <w:color w:val="auto"/>
          <w:sz w:val="24"/>
          <w:szCs w:val="24"/>
          <w:highlight w:val="none"/>
        </w:rPr>
        <w:t xml:space="preserve">          编号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bookmarkStart w:id="72" w:name="_Toc246996253"/>
      <w:bookmarkStart w:id="73" w:name="_Toc152042388"/>
      <w:bookmarkStart w:id="74" w:name="_Toc469495742"/>
      <w:bookmarkStart w:id="75" w:name="_Toc296602498"/>
      <w:bookmarkStart w:id="76" w:name="_Toc152045610"/>
      <w:bookmarkStart w:id="77" w:name="_Toc246996996"/>
      <w:bookmarkStart w:id="78" w:name="_Toc247085768"/>
      <w:bookmarkStart w:id="79" w:name="_Toc144974578"/>
      <w:bookmarkStart w:id="80" w:name="_Toc179632628"/>
      <w:r>
        <w:rPr>
          <w:rFonts w:hint="eastAsia" w:ascii="仿宋" w:hAnsi="仿宋" w:eastAsia="仿宋" w:cs="仿宋"/>
          <w:color w:val="auto"/>
          <w:sz w:val="24"/>
          <w:szCs w:val="24"/>
          <w:highlight w:val="none"/>
        </w:rPr>
        <w:t>买    方：                                   卖    方：</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    所：                                   住    所：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（买方）</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中所需</w:t>
      </w:r>
      <w:r>
        <w:rPr>
          <w:rFonts w:hint="eastAsia" w:ascii="仿宋" w:hAnsi="仿宋" w:eastAsia="仿宋" w:cs="仿宋"/>
          <w:color w:val="auto"/>
          <w:sz w:val="24"/>
          <w:szCs w:val="24"/>
          <w:highlight w:val="none"/>
          <w:u w:val="single"/>
        </w:rPr>
        <w:t>（产品名称）</w:t>
      </w:r>
      <w:r>
        <w:rPr>
          <w:rFonts w:hint="eastAsia" w:ascii="仿宋" w:hAnsi="仿宋" w:eastAsia="仿宋" w:cs="仿宋"/>
          <w:color w:val="auto"/>
          <w:sz w:val="24"/>
          <w:szCs w:val="24"/>
          <w:highlight w:val="none"/>
        </w:rPr>
        <w:t xml:space="preserve"> 经公开招标，确定</w:t>
      </w:r>
      <w:r>
        <w:rPr>
          <w:rFonts w:hint="eastAsia" w:ascii="仿宋" w:hAnsi="仿宋" w:eastAsia="仿宋" w:cs="仿宋"/>
          <w:color w:val="auto"/>
          <w:sz w:val="24"/>
          <w:szCs w:val="24"/>
          <w:highlight w:val="none"/>
          <w:u w:val="single"/>
        </w:rPr>
        <w:t>（卖方）</w:t>
      </w:r>
      <w:r>
        <w:rPr>
          <w:rFonts w:hint="eastAsia" w:ascii="仿宋" w:hAnsi="仿宋" w:eastAsia="仿宋" w:cs="仿宋"/>
          <w:color w:val="auto"/>
          <w:sz w:val="24"/>
          <w:szCs w:val="24"/>
          <w:highlight w:val="none"/>
        </w:rPr>
        <w:t>为中标人。按照中华人民共和国合同法的规定，买卖双方同意按照下述的条款和条件，签署本合同。</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1、本合同文件</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下列每一文件均应作为合同的组成部分进行阅读和解释：</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（2）投标文件（3）中标通知书</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（4）经双方确认进入合同的其它文件、补充条款或说明</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2、采购标的、数量、质量要求</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3、合同总价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合同总价为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p>
    <w:p>
      <w:pPr>
        <w:keepNext w:val="0"/>
        <w:keepLines w:val="0"/>
        <w:pageBreakBefore w:val="0"/>
        <w:shd w:val="clear" w:color="auto" w:fill="auto"/>
        <w:kinsoku/>
        <w:wordWrap/>
        <w:overflowPunct/>
        <w:topLinePunct w:val="0"/>
        <w:autoSpaceDE/>
        <w:autoSpaceDN w:val="0"/>
        <w:bidi w:val="0"/>
        <w:adjustRightInd/>
        <w:snapToGrid/>
        <w:spacing w:line="400" w:lineRule="exact"/>
        <w:ind w:firstLine="49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color w:val="auto"/>
          <w:sz w:val="24"/>
          <w:szCs w:val="24"/>
          <w:highlight w:val="none"/>
        </w:rPr>
        <w:t>4、付款方式</w:t>
      </w:r>
      <w:r>
        <w:rPr>
          <w:rFonts w:hint="eastAsia" w:ascii="仿宋" w:hAnsi="仿宋" w:eastAsia="仿宋" w:cs="仿宋"/>
          <w:b/>
          <w:bCs/>
          <w:color w:val="auto"/>
          <w:sz w:val="24"/>
          <w:szCs w:val="24"/>
          <w:highlight w:val="none"/>
        </w:rPr>
        <w:t>：</w:t>
      </w:r>
      <w:r>
        <w:rPr>
          <w:rFonts w:hint="eastAsia" w:ascii="仿宋" w:hAnsi="仿宋" w:eastAsia="仿宋" w:cs="仿宋"/>
          <w:color w:val="auto"/>
          <w:sz w:val="24"/>
          <w:szCs w:val="24"/>
          <w:highlight w:val="none"/>
          <w:u w:val="single"/>
        </w:rPr>
        <w:t xml:space="preserve">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5、合同供货（服务）期限及地点和方式</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6、验收要求及违约责任</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7、违约责任及解决争议方法</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8、合同的生效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合同经双方授权代表签署，买卖双方加盖印章之后生效。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本合同一式     份，双方各执     份。</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买  方：                          卖  方：</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名  称：（盖章）                   名  称：（盖章）</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法定代表人（或委托代理人）：       法定代表人（或委托代理人）：</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（签字）                        （签字）</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地    址：                        地    址：</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邮政编码：                        邮政编码：</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电    话：                        电    话：</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开户银行：                        开户银行：</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帐    号：                        帐    号：</w:t>
      </w:r>
    </w:p>
    <w:p>
      <w:pPr>
        <w:shd w:val="clear" w:color="auto" w:fill="auto"/>
        <w:spacing w:line="600" w:lineRule="exact"/>
        <w:jc w:val="center"/>
        <w:outlineLvl w:val="9"/>
        <w:rPr>
          <w:rFonts w:hint="eastAsia" w:ascii="黑体" w:eastAsia="黑体"/>
          <w:b/>
          <w:color w:val="auto"/>
          <w:sz w:val="32"/>
          <w:szCs w:val="32"/>
          <w:highlight w:val="none"/>
        </w:rPr>
      </w:pPr>
      <w:r>
        <w:rPr>
          <w:rFonts w:hint="eastAsia" w:ascii="黑体" w:eastAsia="黑体"/>
          <w:b/>
          <w:color w:val="auto"/>
          <w:sz w:val="32"/>
          <w:szCs w:val="32"/>
          <w:highlight w:val="none"/>
        </w:rPr>
        <w:t>二  合同条款</w:t>
      </w:r>
      <w:bookmarkEnd w:id="72"/>
      <w:bookmarkEnd w:id="73"/>
      <w:bookmarkEnd w:id="74"/>
      <w:bookmarkEnd w:id="75"/>
      <w:bookmarkEnd w:id="76"/>
      <w:bookmarkEnd w:id="77"/>
      <w:bookmarkEnd w:id="78"/>
      <w:bookmarkEnd w:id="79"/>
      <w:bookmarkEnd w:id="80"/>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  合同文件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1、合同文件适用法律</w:t>
      </w:r>
    </w:p>
    <w:p>
      <w:pPr>
        <w:shd w:val="clear" w:color="auto" w:fill="auto"/>
        <w:spacing w:line="440" w:lineRule="exact"/>
        <w:ind w:firstLine="735" w:firstLineChars="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适用于合同文件的法律是中华人民共和国现行法律、法规及招标人所在地的地方性法规。</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2、合同文件组成和解释顺序</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(1)合同文件的组成和解释顺序如下：</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&lt;1&gt;合同的主要条款；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&lt;2&gt;合同的一般性条款；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&lt;3&gt;洽商、变更等明确双方权利义务的纪要、协议；</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&lt;4&gt;中标通知书、投标文件和</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&lt;5&gt;有关图纸、标准、规范和其它有关技术资料、技术要求。</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&lt;6&gt;合同的主要条款的效力优于合同的一般性条款的效力。</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3、合同文件使用文字</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(1)合同文件使用中文书写、解释和说明。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标的物的一般条款</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4、完整物权</w:t>
      </w:r>
    </w:p>
    <w:p>
      <w:pPr>
        <w:shd w:val="clear" w:color="auto" w:fill="auto"/>
        <w:tabs>
          <w:tab w:val="left" w:pos="660"/>
        </w:tabs>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对于出卖的标的物，卖方应当拥有完整物权，并且卖方负有保证第三人不得向买方主张任何权利（包括知识产权）的义务。</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5、质量保证</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6、包装</w:t>
      </w:r>
    </w:p>
    <w:p>
      <w:pPr>
        <w:pStyle w:val="6"/>
        <w:shd w:val="clear" w:color="auto" w:fill="auto"/>
        <w:tabs>
          <w:tab w:val="left" w:pos="900"/>
        </w:tabs>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7、伴随服务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(1)卖方除应履行按期按量交付合格标的物的义务之外，还应提供下列服务：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&lt;1&gt;标的物的现场安装或指导安装、启动、调试、监督（如果必须安装、调试的话）；</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&lt;2&gt;提供标的物组装和一般维修所必须的工具；</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&lt;3&gt;在合同规定的期限内对所提供标的物实行运行监督、维修服务的前提条件是该服务并不能免除卖方在质量保证期内所承担的义务；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&lt;4&gt;对买方技术人员的技术指导或培训。</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(2)除合同另有规定之外，伴随服务的费用均已含在合同价款中，买方不再另行进行支付。</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  标的物的交付、检验和验收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8、标的物的交付</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(1)标的物的所有权自标的物交付时转移。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(2)卖方应当按照约定的期限和约定的地点交付符合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要求的标的物。</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(3)卖方应当按照约定或者交易习惯向招标人交付提取标的物单证以外的有关单证和资料。</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9、检验和验收</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交货时，卖方应配合买方对标的物的质量、规格、性能、数量等进行详细而全面的检验，并出具一份合格检验证明，合格检验证明作为验收的依据，但不能作为有关标的物质量、规格、数量或性能的最终检验结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(2)买方根据合同规定的内容和验收标准进行验收，经检验无误后出具验收合格证明，该证明作为最终付款所需文件的组成部分。</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(3)验收期限自标的物交付之日起三十天内。特殊情况需延长的，双方应在合同条款中约定。</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 对标的物提出异议的时间和办法</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10、对标的物提出异议的时间和办法 </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(1)买方在验收过程中，应当于双方约定的检验期间内将标的物的数量或质量不符合约定的情形及处理方式以书面形式通知卖方。</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(2)如买方在验收期满后既不出具验收合格证明又未提出书面异议的视为卖方所交标的物符合合同规定。</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(3)卖方应在收到买方书面异议后七天内负责处理问题，否则将视为默认买方提出的异议和处理意见。</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合同价款和支付</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11、合同价款和支付</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(1)本合同的结算货币为人民币，单位元。</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(2)卖方应按照双方签订的合同规定交货并在合同主要条款规定的期限内持下列单据结算货款：</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&lt;1&gt;合格的销售发票；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&lt;2&gt;买方盖章签收后的送货回单和验收合格证明。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(3)买方应按合同主要条款规定的期限和方式付款。</w:t>
      </w:r>
    </w:p>
    <w:p>
      <w:pPr>
        <w:pStyle w:val="6"/>
        <w:shd w:val="clear" w:color="auto" w:fill="auto"/>
        <w:tabs>
          <w:tab w:val="left" w:pos="54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 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12、违约责任</w:t>
      </w:r>
    </w:p>
    <w:p>
      <w:pPr>
        <w:pStyle w:val="6"/>
        <w:shd w:val="clear" w:color="auto" w:fill="auto"/>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合同一方不履行合同义务或者履行合同义务不符合约定的，应当承担继续履行、采取补救措施或者赔偿损失等违约责任。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13、买方违约责任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(1)在合同生效后，买方要求退货的，应向卖方偿付合同总价款的5%，作为违约金，违约金不足以补偿损失的，卖方有权要求甲方补足。</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(2)买方逾期付款的应按照逾期付款金额的每天万分之四支付逾期付款违约金。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(3)买方违反合同规定，拒绝接收卖方交付的符合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要求的合格标的物，应当承担卖方由此造成的损失。</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14、卖方违约责任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(1)卖方不能交货（逾期超过五天视为不能交货），或交货不合格从而影响买方按期正常使用的，应向买方偿付合同总价款5%的违约金，违约金不足以补偿损失的，买方有权要求卖方补足。</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(2)卖方逾期交货的，应在发货前与买方和政府采购管理部门协商，买方仍需求的，卖方应立即发货并应按照逾期交货部分货款的每天万分之四支付逾期交货违约金，同时承担买方因此遭致的损失费用。</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15、不可抗力</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(1)因水灾、火灾、地震、战争等不可抗力不能履行合同的，根据不可抗力的影响，部分或者全部免除责任。但合同一方迟延履行后发生不可抗力的，不能免除责任。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(2)合同一方因不可抗力不能履行合同的，应当及时通知对方，以减轻可能给对方造成的损失，并应当在合理期限内提供证明。</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 索赔</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(1)买方有权根据当地产品质量检验机构或其它有权威部门出具的检验证书向卖方提出索赔。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(2)在本合同规定的检验期和质量保证期内，如果卖方对买方提出的索赔或差异有责任，则卖方应按买方同意的下列一种或多种方式解决索赔事宜：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&lt;2&gt;根据标的物的低劣程度、损坏程度以及甲方遭受损失的数额，经双方协商确定降低标的物的价格；</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 履约保证金</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17、履约保证金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(1)卖方应在本合同签订时，按</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的约定提供相应的履约保证金，保证金的有效期应不低于合同有效期。</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(2)如果卖方未能履行合同规定的任何义务，买方有权从履约保证金中取得补偿。</w:t>
      </w:r>
    </w:p>
    <w:p>
      <w:pPr>
        <w:pStyle w:val="6"/>
        <w:shd w:val="clear" w:color="auto" w:fill="auto"/>
        <w:overflowPunct w:val="0"/>
        <w:spacing w:line="440" w:lineRule="exact"/>
        <w:ind w:right="-1019" w:rightChars="-416"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(3)履约保证金（无息）将在卖方履行完合同义务，买方支付合同价款的五天内</w:t>
      </w:r>
    </w:p>
    <w:p>
      <w:pPr>
        <w:pStyle w:val="6"/>
        <w:shd w:val="clear" w:color="auto" w:fill="auto"/>
        <w:overflowPunct w:val="0"/>
        <w:spacing w:line="440" w:lineRule="exact"/>
        <w:ind w:right="-1019" w:rightChars="-416" w:firstLine="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退回。</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  合同的解除和转让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18、合同的解除</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(1)买方和卖方协商一致，可以解除合同。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(2)有下列情形之一，合同一方可以解除合同：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&lt;1&gt;因不可抗力致使不能实现合同目的，未受不可抗力影响的一方有权解除合同；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&lt;2&gt;因合同一方违约导致合同不能履行，另一方有权解除合同。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19、合同的转让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合同的部分和全部都不得转让。</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 合同的生效</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20、合同的生效</w:t>
      </w:r>
    </w:p>
    <w:p>
      <w:pPr>
        <w:shd w:val="clear" w:color="auto" w:fill="auto"/>
        <w:spacing w:line="440" w:lineRule="exact"/>
        <w:ind w:firstLine="677" w:firstLineChars="27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本合同在双方签字盖章并在招标人收到中标人提交的履约保证金后，经招标采购管理部门备案后生效。</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 争议解决</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21、争议解决</w:t>
      </w:r>
    </w:p>
    <w:p>
      <w:pPr>
        <w:pStyle w:val="6"/>
        <w:shd w:val="clear" w:color="auto" w:fill="auto"/>
        <w:overflowPunct w:val="0"/>
        <w:spacing w:line="440" w:lineRule="exact"/>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 买卖双方因合同发生争议，进行调解，协商不成，可选择：</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(1)双方同时申请仲裁；</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(2)向买方所在地人民法院提起诉讼。</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十二 .附则</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22、合同份数。</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本合同一式陆份，买卖双方各执二份，招标代理机构一份，招标采购管理部门一份。</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23、未尽事宜</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本合同未尽事宜应按《中华人民共和国政府采购法》、《中华人民共和国合同法》、《中华人民共和国产品质量法》之规定解释。</w:t>
      </w:r>
    </w:p>
    <w:p>
      <w:pPr>
        <w:pStyle w:val="11"/>
        <w:shd w:val="clear" w:color="auto" w:fill="auto"/>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p>
    <w:p>
      <w:pPr>
        <w:outlineLvl w:val="9"/>
        <w:rPr>
          <w:rFonts w:hint="eastAsia" w:ascii="仿宋" w:hAnsi="仿宋" w:eastAsia="仿宋" w:cs="仿宋"/>
          <w:b/>
          <w:bCs/>
          <w:color w:val="auto"/>
          <w:spacing w:val="0"/>
          <w:w w:val="100"/>
          <w:position w:val="0"/>
          <w:sz w:val="36"/>
          <w:szCs w:val="36"/>
          <w:highlight w:val="none"/>
        </w:rPr>
      </w:pPr>
      <w:r>
        <w:rPr>
          <w:rFonts w:hint="eastAsia" w:ascii="仿宋" w:hAnsi="仿宋" w:eastAsia="仿宋" w:cs="仿宋"/>
          <w:b/>
          <w:bCs/>
          <w:color w:val="auto"/>
          <w:spacing w:val="0"/>
          <w:w w:val="100"/>
          <w:position w:val="0"/>
          <w:sz w:val="36"/>
          <w:szCs w:val="36"/>
          <w:highlight w:val="none"/>
        </w:rPr>
        <w:br w:type="page"/>
      </w:r>
    </w:p>
    <w:p>
      <w:pPr>
        <w:pStyle w:val="34"/>
        <w:keepNext/>
        <w:keepLines/>
        <w:widowControl w:val="0"/>
        <w:shd w:val="clear" w:color="auto" w:fill="auto"/>
        <w:bidi w:val="0"/>
        <w:spacing w:before="0" w:after="1160" w:line="240" w:lineRule="auto"/>
        <w:ind w:left="0" w:right="0" w:firstLine="0"/>
        <w:jc w:val="center"/>
        <w:outlineLvl w:val="0"/>
        <w:rPr>
          <w:rFonts w:hint="eastAsia" w:ascii="仿宋" w:hAnsi="仿宋" w:eastAsia="仿宋" w:cs="仿宋"/>
          <w:b/>
          <w:bCs/>
          <w:color w:val="auto"/>
          <w:sz w:val="36"/>
          <w:szCs w:val="36"/>
          <w:highlight w:val="none"/>
        </w:rPr>
      </w:pPr>
      <w:bookmarkStart w:id="81" w:name="_Toc3868"/>
      <w:bookmarkStart w:id="82" w:name="_Toc14553"/>
      <w:bookmarkStart w:id="83" w:name="_Toc21488"/>
      <w:r>
        <w:rPr>
          <w:rFonts w:hint="eastAsia" w:ascii="仿宋" w:hAnsi="仿宋" w:eastAsia="仿宋" w:cs="仿宋"/>
          <w:b/>
          <w:bCs/>
          <w:color w:val="auto"/>
          <w:spacing w:val="0"/>
          <w:w w:val="100"/>
          <w:position w:val="0"/>
          <w:sz w:val="36"/>
          <w:szCs w:val="36"/>
          <w:highlight w:val="none"/>
        </w:rPr>
        <w:t>第</w:t>
      </w:r>
      <w:r>
        <w:rPr>
          <w:rFonts w:hint="eastAsia" w:ascii="仿宋" w:hAnsi="仿宋" w:eastAsia="仿宋" w:cs="仿宋"/>
          <w:b/>
          <w:bCs/>
          <w:color w:val="auto"/>
          <w:spacing w:val="0"/>
          <w:w w:val="100"/>
          <w:position w:val="0"/>
          <w:sz w:val="36"/>
          <w:szCs w:val="36"/>
          <w:highlight w:val="none"/>
          <w:lang w:eastAsia="zh-CN"/>
        </w:rPr>
        <w:t>六</w:t>
      </w:r>
      <w:r>
        <w:rPr>
          <w:rFonts w:hint="eastAsia" w:ascii="仿宋" w:hAnsi="仿宋" w:eastAsia="仿宋" w:cs="仿宋"/>
          <w:b/>
          <w:bCs/>
          <w:color w:val="auto"/>
          <w:spacing w:val="0"/>
          <w:w w:val="100"/>
          <w:position w:val="0"/>
          <w:sz w:val="36"/>
          <w:szCs w:val="36"/>
          <w:highlight w:val="none"/>
        </w:rPr>
        <w:t>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投标文件格式</w:t>
      </w:r>
      <w:bookmarkEnd w:id="81"/>
      <w:bookmarkEnd w:id="82"/>
      <w:bookmarkEnd w:id="83"/>
    </w:p>
    <w:p>
      <w:pPr>
        <w:adjustRightInd w:val="0"/>
        <w:snapToGrid w:val="0"/>
        <w:spacing w:line="360" w:lineRule="auto"/>
        <w:jc w:val="center"/>
        <w:outlineLvl w:val="9"/>
        <w:rPr>
          <w:rFonts w:hint="eastAsia" w:ascii="仿宋" w:hAnsi="仿宋" w:eastAsia="仿宋" w:cs="仿宋"/>
          <w:b/>
          <w:caps/>
          <w:color w:val="auto"/>
          <w:sz w:val="24"/>
          <w:szCs w:val="24"/>
          <w:highlight w:val="none"/>
        </w:rPr>
      </w:pPr>
      <w:bookmarkStart w:id="84" w:name="bookmark196"/>
    </w:p>
    <w:p>
      <w:pPr>
        <w:adjustRightInd w:val="0"/>
        <w:snapToGrid w:val="0"/>
        <w:spacing w:line="360" w:lineRule="auto"/>
        <w:jc w:val="center"/>
        <w:outlineLvl w:val="9"/>
        <w:rPr>
          <w:rFonts w:hint="eastAsia" w:ascii="仿宋" w:hAnsi="仿宋" w:eastAsia="仿宋" w:cs="仿宋"/>
          <w:bCs/>
          <w:color w:val="auto"/>
          <w:sz w:val="32"/>
          <w:szCs w:val="32"/>
          <w:highlight w:val="none"/>
        </w:rPr>
      </w:pPr>
      <w:r>
        <w:rPr>
          <w:rFonts w:hint="eastAsia" w:ascii="仿宋" w:hAnsi="仿宋" w:eastAsia="仿宋" w:cs="仿宋"/>
          <w:b/>
          <w:caps/>
          <w:color w:val="auto"/>
          <w:sz w:val="32"/>
          <w:szCs w:val="32"/>
          <w:highlight w:val="none"/>
        </w:rPr>
        <w:t>（项目名称）</w:t>
      </w: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lang w:eastAsia="zh-CN"/>
        </w:rPr>
      </w:pPr>
      <w:r>
        <w:rPr>
          <w:rFonts w:hint="eastAsia" w:ascii="仿宋" w:hAnsi="仿宋" w:eastAsia="仿宋" w:cs="仿宋"/>
          <w:b/>
          <w:bCs/>
          <w:color w:val="auto"/>
          <w:sz w:val="44"/>
          <w:szCs w:val="44"/>
          <w:highlight w:val="none"/>
          <w:lang w:eastAsia="zh-CN"/>
        </w:rPr>
        <w:t>投标文件</w:t>
      </w: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kern w:val="0"/>
          <w:sz w:val="28"/>
          <w:szCs w:val="28"/>
          <w:highlight w:val="none"/>
          <w:fitText w:val="2810" w:id="1470909418"/>
        </w:rPr>
        <w:t>供应商名称（公章）：</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w w:val="77"/>
          <w:kern w:val="0"/>
          <w:sz w:val="28"/>
          <w:szCs w:val="28"/>
          <w:highlight w:val="none"/>
          <w:fitText w:val="2810" w:id="1"/>
        </w:rPr>
        <w:t>法定代表人（</w:t>
      </w:r>
      <w:r>
        <w:rPr>
          <w:rFonts w:hint="eastAsia" w:ascii="仿宋" w:hAnsi="仿宋" w:eastAsia="仿宋" w:cs="仿宋"/>
          <w:b/>
          <w:caps/>
          <w:color w:val="auto"/>
          <w:spacing w:val="0"/>
          <w:w w:val="77"/>
          <w:kern w:val="0"/>
          <w:sz w:val="28"/>
          <w:szCs w:val="28"/>
          <w:highlight w:val="none"/>
          <w:fitText w:val="2810" w:id="1"/>
          <w:lang w:eastAsia="zh-CN"/>
        </w:rPr>
        <w:t>签字</w:t>
      </w:r>
      <w:r>
        <w:rPr>
          <w:rFonts w:hint="eastAsia" w:ascii="仿宋" w:hAnsi="仿宋" w:eastAsia="仿宋" w:cs="仿宋"/>
          <w:b/>
          <w:caps/>
          <w:color w:val="auto"/>
          <w:spacing w:val="0"/>
          <w:w w:val="77"/>
          <w:kern w:val="0"/>
          <w:sz w:val="28"/>
          <w:szCs w:val="28"/>
          <w:highlight w:val="none"/>
          <w:fitText w:val="2810" w:id="1"/>
        </w:rPr>
        <w:t>或盖章）</w:t>
      </w:r>
      <w:r>
        <w:rPr>
          <w:rFonts w:hint="eastAsia" w:ascii="仿宋" w:hAnsi="仿宋" w:eastAsia="仿宋" w:cs="仿宋"/>
          <w:b/>
          <w:caps/>
          <w:color w:val="auto"/>
          <w:spacing w:val="-1"/>
          <w:w w:val="77"/>
          <w:kern w:val="0"/>
          <w:sz w:val="28"/>
          <w:szCs w:val="28"/>
          <w:highlight w:val="none"/>
          <w:fitText w:val="2810" w:id="1"/>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113"/>
          <w:kern w:val="0"/>
          <w:sz w:val="28"/>
          <w:szCs w:val="28"/>
          <w:highlight w:val="none"/>
          <w:fitText w:val="2810" w:id="2"/>
        </w:rPr>
        <w:t>供应商地址</w:t>
      </w:r>
      <w:r>
        <w:rPr>
          <w:rFonts w:hint="eastAsia" w:ascii="仿宋" w:hAnsi="仿宋" w:eastAsia="仿宋" w:cs="仿宋"/>
          <w:b/>
          <w:caps/>
          <w:color w:val="auto"/>
          <w:spacing w:val="0"/>
          <w:kern w:val="0"/>
          <w:sz w:val="28"/>
          <w:szCs w:val="28"/>
          <w:highlight w:val="none"/>
          <w:fitText w:val="2810" w:id="2"/>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281"/>
          <w:kern w:val="0"/>
          <w:sz w:val="28"/>
          <w:szCs w:val="28"/>
          <w:highlight w:val="none"/>
          <w:fitText w:val="2810" w:id="3"/>
        </w:rPr>
        <w:t>联系人</w:t>
      </w:r>
      <w:r>
        <w:rPr>
          <w:rFonts w:hint="eastAsia" w:ascii="仿宋" w:hAnsi="仿宋" w:eastAsia="仿宋" w:cs="仿宋"/>
          <w:b/>
          <w:caps/>
          <w:color w:val="auto"/>
          <w:spacing w:val="2"/>
          <w:kern w:val="0"/>
          <w:sz w:val="28"/>
          <w:szCs w:val="28"/>
          <w:highlight w:val="none"/>
          <w:fitText w:val="2810" w:id="3"/>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kern w:val="0"/>
          <w:sz w:val="28"/>
          <w:szCs w:val="28"/>
          <w:highlight w:val="none"/>
        </w:rPr>
      </w:pPr>
      <w:r>
        <w:rPr>
          <w:rFonts w:hint="eastAsia" w:ascii="仿宋" w:hAnsi="仿宋" w:eastAsia="仿宋" w:cs="仿宋"/>
          <w:b/>
          <w:caps/>
          <w:color w:val="auto"/>
          <w:spacing w:val="176"/>
          <w:kern w:val="0"/>
          <w:sz w:val="28"/>
          <w:szCs w:val="28"/>
          <w:highlight w:val="none"/>
          <w:fitText w:val="2810" w:id="4"/>
        </w:rPr>
        <w:t>联系电话</w:t>
      </w:r>
      <w:r>
        <w:rPr>
          <w:rFonts w:hint="eastAsia" w:ascii="仿宋" w:hAnsi="仿宋" w:eastAsia="仿宋" w:cs="仿宋"/>
          <w:b/>
          <w:caps/>
          <w:color w:val="auto"/>
          <w:spacing w:val="1"/>
          <w:kern w:val="0"/>
          <w:sz w:val="28"/>
          <w:szCs w:val="28"/>
          <w:highlight w:val="none"/>
          <w:fitText w:val="2810" w:id="4"/>
        </w:rPr>
        <w:t>：</w:t>
      </w:r>
    </w:p>
    <w:p>
      <w:pPr>
        <w:pStyle w:val="9"/>
        <w:numPr>
          <w:ilvl w:val="0"/>
          <w:numId w:val="0"/>
        </w:numPr>
        <w:ind w:leftChars="0" w:right="0" w:rightChars="0"/>
        <w:rPr>
          <w:rFonts w:hint="eastAsia"/>
          <w:highlight w:val="none"/>
        </w:rPr>
      </w:pPr>
    </w:p>
    <w:p>
      <w:pPr>
        <w:pStyle w:val="9"/>
        <w:numPr>
          <w:ilvl w:val="0"/>
          <w:numId w:val="0"/>
        </w:numPr>
        <w:ind w:leftChars="0" w:right="0" w:rightChars="0"/>
        <w:jc w:val="left"/>
        <w:rPr>
          <w:rFonts w:hint="default" w:eastAsia="仿宋"/>
          <w:highlight w:val="none"/>
          <w:lang w:val="en-US" w:eastAsia="zh-CN"/>
        </w:rPr>
      </w:pPr>
      <w:r>
        <w:rPr>
          <w:rFonts w:hint="eastAsia" w:ascii="仿宋" w:hAnsi="仿宋" w:eastAsia="仿宋" w:cs="仿宋"/>
          <w:b/>
          <w:caps/>
          <w:color w:val="auto"/>
          <w:kern w:val="0"/>
          <w:sz w:val="28"/>
          <w:szCs w:val="28"/>
          <w:highlight w:val="none"/>
          <w:lang w:val="en-US" w:eastAsia="zh-CN"/>
        </w:rPr>
        <w:t xml:space="preserve">日              期： </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年</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 xml:space="preserve"> 月</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日</w:t>
      </w:r>
    </w:p>
    <w:p>
      <w:pPr>
        <w:adjustRightInd w:val="0"/>
        <w:snapToGrid w:val="0"/>
        <w:spacing w:line="360" w:lineRule="auto"/>
        <w:jc w:val="center"/>
        <w:outlineLvl w:val="9"/>
        <w:rPr>
          <w:rFonts w:hint="eastAsia" w:ascii="仿宋" w:hAnsi="仿宋" w:eastAsia="仿宋" w:cs="仿宋"/>
          <w:b/>
          <w:caps/>
          <w:color w:val="auto"/>
          <w:sz w:val="28"/>
          <w:szCs w:val="28"/>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bookmarkEnd w:id="84"/>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z w:val="24"/>
          <w:highlight w:val="none"/>
        </w:rPr>
      </w:pPr>
      <w:bookmarkStart w:id="85" w:name="_Toc18694"/>
      <w:bookmarkStart w:id="86" w:name="_Toc18974"/>
      <w:bookmarkStart w:id="87" w:name="_Toc515647803"/>
      <w:bookmarkStart w:id="88" w:name="_Toc8919"/>
    </w:p>
    <w:p>
      <w:pPr>
        <w:numPr>
          <w:ilvl w:val="0"/>
          <w:numId w:val="0"/>
        </w:numPr>
        <w:shd w:val="clear" w:color="auto" w:fill="auto"/>
        <w:tabs>
          <w:tab w:val="left" w:pos="540"/>
        </w:tabs>
        <w:spacing w:before="0" w:line="240" w:lineRule="atLeast"/>
        <w:outlineLvl w:val="9"/>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第一部分 资格证明文件</w:t>
      </w:r>
      <w:bookmarkEnd w:id="85"/>
      <w:bookmarkEnd w:id="86"/>
      <w:bookmarkEnd w:id="87"/>
      <w:bookmarkEnd w:id="88"/>
    </w:p>
    <w:p>
      <w:pPr>
        <w:shd w:val="clear" w:color="auto" w:fill="auto"/>
        <w:spacing w:line="240" w:lineRule="atLeast"/>
        <w:ind w:left="708" w:hanging="722" w:hangingChars="295"/>
        <w:jc w:val="cente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、法人或者非法人组织的营业执照等证明文件复印件（须加盖本单位章）或自然人的身份证明复印件;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、法定代表人资格证明书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法定代表人授权书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4、投标保证金收据或保函等票据</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投标企业须提供投标人（被授权在职人员）近期社保证明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、参加政府采购活动前3年内在经营活动中没有重大违法记录的书面声明;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7、未被“信用中国”（www.creditchina.gov.cn）、中国政府采购网（www.ccgp.gov.cn）列入失信被执行人、重大税收违法案件当事人名单、政府采购严</w:t>
      </w:r>
      <w:r>
        <w:rPr>
          <w:rFonts w:hint="eastAsia" w:ascii="仿宋" w:hAnsi="仿宋" w:eastAsia="仿宋" w:cs="仿宋"/>
          <w:color w:val="auto"/>
          <w:sz w:val="24"/>
          <w:highlight w:val="none"/>
          <w:lang w:val="en-US" w:eastAsia="zh-CN"/>
        </w:rPr>
        <w:t>重违法失信行为记录名单（提供查询结果网页截图并加盖供应商公章）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kern w:val="0"/>
          <w:sz w:val="24"/>
          <w:szCs w:val="24"/>
          <w:highlight w:val="none"/>
          <w:lang w:bidi="ar"/>
        </w:rPr>
        <w:t>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投标人须知资料表要求的其他资格证明文件;</w:t>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bookmarkStart w:id="89" w:name="_Toc515647805"/>
      <w:bookmarkStart w:id="90" w:name="_Toc29899"/>
      <w:bookmarkStart w:id="91" w:name="_Toc4844"/>
      <w:bookmarkStart w:id="92" w:name="_Toc17577"/>
      <w:r>
        <w:rPr>
          <w:rFonts w:hint="eastAsia" w:ascii="仿宋" w:hAnsi="仿宋" w:eastAsia="仿宋" w:cs="仿宋"/>
          <w:b/>
          <w:bCs/>
          <w:color w:val="auto"/>
          <w:sz w:val="36"/>
          <w:szCs w:val="36"/>
          <w:highlight w:val="none"/>
          <w:lang w:val="en-US" w:eastAsia="zh-CN"/>
        </w:rPr>
        <w:t>1、 法人或者非法人组织的营业执照等证明文件</w:t>
      </w:r>
      <w:bookmarkEnd w:id="89"/>
      <w:bookmarkStart w:id="93" w:name="_Toc515647806"/>
      <w:r>
        <w:rPr>
          <w:rFonts w:hint="eastAsia" w:ascii="仿宋" w:hAnsi="仿宋" w:eastAsia="仿宋" w:cs="仿宋"/>
          <w:b/>
          <w:bCs/>
          <w:color w:val="auto"/>
          <w:sz w:val="36"/>
          <w:szCs w:val="36"/>
          <w:highlight w:val="none"/>
          <w:lang w:val="en-US" w:eastAsia="zh-CN"/>
        </w:rPr>
        <w:t>或自然人的身份证明</w:t>
      </w:r>
      <w:bookmarkEnd w:id="90"/>
      <w:bookmarkEnd w:id="91"/>
      <w:bookmarkEnd w:id="92"/>
      <w:bookmarkEnd w:id="93"/>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jc w:val="center"/>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说明：1.提供有效的营业执照等证明文件复印件，复印件上应加盖本单位章。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2. 投标人为自然人的，应提供身份证明的复印件。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32"/>
        <w:outlineLvl w:val="9"/>
        <w:rPr>
          <w:rFonts w:hint="eastAsia" w:ascii="仿宋" w:hAnsi="仿宋" w:eastAsia="仿宋" w:cs="仿宋"/>
          <w:b/>
          <w:bCs/>
          <w:color w:val="auto"/>
          <w:sz w:val="36"/>
          <w:szCs w:val="36"/>
          <w:highlight w:val="none"/>
        </w:rPr>
      </w:pPr>
    </w:p>
    <w:p>
      <w:pPr>
        <w:outlineLvl w:val="9"/>
        <w:rPr>
          <w:rFonts w:hint="eastAsia"/>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lang w:val="en-US" w:eastAsia="zh-CN"/>
        </w:rPr>
        <w:t>2</w:t>
      </w:r>
      <w:r>
        <w:rPr>
          <w:rFonts w:hint="eastAsia" w:ascii="仿宋" w:hAnsi="仿宋" w:eastAsia="仿宋" w:cs="仿宋"/>
          <w:b/>
          <w:bCs/>
          <w:color w:val="auto"/>
          <w:sz w:val="36"/>
          <w:szCs w:val="36"/>
          <w:highlight w:val="none"/>
        </w:rPr>
        <w:t>、法定代表人身份证明</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投标单位名称：</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地址：</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身份证号码：</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（投标单位名称）的法定代表人。</w:t>
      </w:r>
    </w:p>
    <w:p>
      <w:pPr>
        <w:spacing w:line="420" w:lineRule="exact"/>
        <w:ind w:firstLine="980" w:firstLineChars="4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pPr>
        <w:pStyle w:val="9"/>
        <w:numPr>
          <w:ilvl w:val="0"/>
          <w:numId w:val="0"/>
        </w:numPr>
        <w:kinsoku w:val="0"/>
        <w:overflowPunct w:val="0"/>
        <w:ind w:leftChars="0" w:right="0" w:rightChars="0"/>
        <w:outlineLvl w:val="9"/>
        <w:rPr>
          <w:rFonts w:hint="eastAsia" w:ascii="仿宋" w:hAnsi="仿宋" w:eastAsia="仿宋" w:cs="仿宋"/>
          <w:color w:val="auto"/>
          <w:sz w:val="20"/>
          <w:szCs w:val="20"/>
          <w:highlight w:val="none"/>
        </w:rPr>
      </w:pPr>
    </w:p>
    <w:p>
      <w:pPr>
        <w:pStyle w:val="9"/>
        <w:numPr>
          <w:ilvl w:val="0"/>
          <w:numId w:val="0"/>
        </w:numPr>
        <w:kinsoku w:val="0"/>
        <w:overflowPunct w:val="0"/>
        <w:spacing w:before="7"/>
        <w:ind w:leftChars="0" w:right="0" w:rightChars="0"/>
        <w:outlineLvl w:val="9"/>
        <w:rPr>
          <w:rFonts w:hint="eastAsia" w:ascii="仿宋" w:hAnsi="仿宋" w:eastAsia="仿宋" w:cs="仿宋"/>
          <w:color w:val="auto"/>
          <w:sz w:val="25"/>
          <w:szCs w:val="25"/>
          <w:highlight w:val="none"/>
        </w:rPr>
      </w:pPr>
    </w:p>
    <w:p>
      <w:pPr>
        <w:pStyle w:val="9"/>
        <w:numPr>
          <w:ilvl w:val="0"/>
          <w:numId w:val="0"/>
        </w:numPr>
        <w:kinsoku w:val="0"/>
        <w:overflowPunct w:val="0"/>
        <w:spacing w:line="200" w:lineRule="atLeast"/>
        <w:ind w:right="0" w:rightChars="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mc:AlternateContent>
          <mc:Choice Requires="wpg">
            <w:drawing>
              <wp:inline distT="0" distB="0" distL="114300" distR="114300">
                <wp:extent cx="5136515" cy="1458595"/>
                <wp:effectExtent l="0" t="0" r="47625" b="29845"/>
                <wp:docPr id="34" name="组合 3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4" name="任意多边形 14"/>
                        <wps:cNvSpPr/>
                        <wps:spPr>
                          <a:xfrm>
                            <a:off x="4" y="9"/>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5" name="任意多边形 15"/>
                        <wps:cNvSpPr/>
                        <wps:spPr>
                          <a:xfrm>
                            <a:off x="24" y="28"/>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6" name="任意多边形 16"/>
                        <wps:cNvSpPr/>
                        <wps:spPr>
                          <a:xfrm>
                            <a:off x="24" y="2267"/>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7" name="任意多边形 17"/>
                        <wps:cNvSpPr/>
                        <wps:spPr>
                          <a:xfrm>
                            <a:off x="4" y="2286"/>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9" name="任意多边形 19"/>
                        <wps:cNvSpPr/>
                        <wps:spPr>
                          <a:xfrm>
                            <a:off x="9" y="4"/>
                            <a:ext cx="20" cy="2287"/>
                          </a:xfrm>
                          <a:custGeom>
                            <a:avLst/>
                            <a:gdLst/>
                            <a:ahLst/>
                            <a:cxnLst/>
                            <a:pathLst>
                              <a:path w="20" h="2287">
                                <a:moveTo>
                                  <a:pt x="0" y="0"/>
                                </a:moveTo>
                                <a:lnTo>
                                  <a:pt x="0" y="2286"/>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0" name="任意多边形 20"/>
                        <wps:cNvSpPr/>
                        <wps:spPr>
                          <a:xfrm>
                            <a:off x="28" y="24"/>
                            <a:ext cx="20" cy="2249"/>
                          </a:xfrm>
                          <a:custGeom>
                            <a:avLst/>
                            <a:gdLst/>
                            <a:ahLst/>
                            <a:cxnLst/>
                            <a:pathLst>
                              <a:path w="20" h="2249">
                                <a:moveTo>
                                  <a:pt x="0" y="0"/>
                                </a:moveTo>
                                <a:lnTo>
                                  <a:pt x="0" y="224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1" name="任意多边形 21"/>
                        <wps:cNvSpPr/>
                        <wps:spPr>
                          <a:xfrm>
                            <a:off x="4034"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2" name="任意多边形 22"/>
                        <wps:cNvSpPr/>
                        <wps:spPr>
                          <a:xfrm>
                            <a:off x="4053"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3" name="任意多边形 23"/>
                        <wps:cNvSpPr/>
                        <wps:spPr>
                          <a:xfrm>
                            <a:off x="8059" y="33"/>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4" name="任意多边形 24"/>
                        <wps:cNvSpPr/>
                        <wps:spPr>
                          <a:xfrm>
                            <a:off x="8078" y="14"/>
                            <a:ext cx="20" cy="2278"/>
                          </a:xfrm>
                          <a:custGeom>
                            <a:avLst/>
                            <a:gdLst/>
                            <a:ahLst/>
                            <a:cxnLst/>
                            <a:pathLst>
                              <a:path w="20" h="2278">
                                <a:moveTo>
                                  <a:pt x="0" y="0"/>
                                </a:moveTo>
                                <a:lnTo>
                                  <a:pt x="0" y="2277"/>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7" name="文本框 27"/>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l/l9z9YAAAAFAQAADwAAAAAAAAABACAAAAAiAAAAZHJzL2Rvd25yZXYueG1sUEsBAhQA&#10;FAAAAAgAh07iQELswcrZBAAAiyMAAA4AAAAAAAAAAQAgAAAAJQEAAGRycy9lMm9Eb2MueG1sUEsF&#10;BgAAAAAGAAYAWQEAAHAIAAAAAA==&#10;">
                <o:lock v:ext="edit" rotation="t" aspectratio="f"/>
                <v:shape id="_x0000_s1026" o:spid="_x0000_s1026" o:spt="100" style="position:absolute;left:4;top:9;height:20;width:8079;" fillcolor="#FFFFFF [3201]" filled="t" stroked="f" coordsize="8079,20" o:gfxdata="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9VF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24;top:28;height:20;width:8041;" fillcolor="#FFFFFF [3201]" filled="t" stroked="f" coordsize="8041,20" o:gfxdata="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gPPbsAAADb&#10;AAAADwAAAAAAAAABACAAAAAiAAAAZHJzL2Rvd25yZXYueG1sUEsBAhQAFAAAAAgAh07iQDMvBZ47&#10;AAAAOQAAABAAAAAAAAAAAQAgAAAACgEAAGRycy9zaGFwZXhtbC54bWxQSwUGAAAAAAYABgBbAQAA&#10;tAMAAAAA&#10;" path="m0,0l8040,0e">
                  <v:fill on="t" focussize="0,0"/>
                  <v:stroke on="f" weight="1pt" miterlimit="8" joinstyle="miter"/>
                  <v:imagedata o:title=""/>
                  <o:lock v:ext="edit" aspectratio="f"/>
                </v:shape>
                <v:shape id="_x0000_s1026" o:spid="_x0000_s1026" o:spt="100" style="position:absolute;left:24;top:2267;height:20;width:8041;" fillcolor="#FFFFFF [3201]" filled="t" stroked="f" coordsize="8041,20" o:gfxdata="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SpFKugAAANsA&#10;AAAPAAAAAAAAAAEAIAAAACIAAABkcnMvZG93bnJldi54bWxQSwECFAAUAAAACACHTuJAMy8FnjsA&#10;AAA5AAAAEAAAAAAAAAABACAAAAAJAQAAZHJzL3NoYXBleG1sLnhtbFBLBQYAAAAABgAGAFsBAACz&#10;AwAAAAA=&#10;" path="m0,0l8040,0e">
                  <v:fill on="t" focussize="0,0"/>
                  <v:stroke on="f" weight="1pt" miterlimit="8" joinstyle="miter"/>
                  <v:imagedata o:title=""/>
                  <o:lock v:ext="edit" aspectratio="f"/>
                </v:shape>
                <v:shape id="_x0000_s1026" o:spid="_x0000_s1026" o:spt="100" style="position:absolute;left:4;top:2286;height:20;width:8079;" fillcolor="#FFFFFF [3201]" filled="t" stroked="f" coordsize="8079,20" o:gfxdata="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2LUsy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9;top:4;height:2287;width:20;" fillcolor="#FFFFFF [3201]" filled="t" stroked="f" coordsize="20,2287" o:gfxdata="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K5e25AAAA2wAA&#10;AA8AAAAAAAAAAQAgAAAAIgAAAGRycy9kb3ducmV2LnhtbFBLAQIUABQAAAAIAIdO4kAzLwWeOwAA&#10;ADkAAAAQAAAAAAAAAAEAIAAAAAgBAABkcnMvc2hhcGV4bWwueG1sUEsFBgAAAAAGAAYAWwEAALID&#10;AAAAAA==&#10;" path="m0,0l0,2286e">
                  <v:fill on="t" focussize="0,0"/>
                  <v:stroke on="f" weight="1pt" miterlimit="8" joinstyle="miter"/>
                  <v:imagedata o:title=""/>
                  <o:lock v:ext="edit" aspectratio="f"/>
                </v:shape>
                <v:shape id="_x0000_s1026" o:spid="_x0000_s1026" o:spt="100" style="position:absolute;left:28;top:24;height:2249;width:20;" fillcolor="#FFFFFF [3201]" filled="t" stroked="f" coordsize="20,2249" o:gfxdata="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SfnZC5AAAA2wAA&#10;AA8AAAAAAAAAAQAgAAAAIgAAAGRycy9kb3ducmV2LnhtbFBLAQIUABQAAAAIAIdO4kAzLwWeOwAA&#10;ADkAAAAQAAAAAAAAAAEAIAAAAAgBAABkcnMvc2hhcGV4bWwueG1sUEsFBgAAAAAGAAYAWwEAALID&#10;AAAAAA==&#10;" path="m0,0l0,2248e">
                  <v:fill on="t" focussize="0,0"/>
                  <v:stroke on="f" weight="1pt" miterlimit="8" joinstyle="miter"/>
                  <v:imagedata o:title=""/>
                  <o:lock v:ext="edit" aspectratio="f"/>
                </v:shape>
                <v:shape id="_x0000_s1026" o:spid="_x0000_s1026" o:spt="100" style="position:absolute;left:4034;top:24;height:2239;width:20;" fillcolor="#FFFFFF [3201]" filled="t" stroked="f" coordsize="20,2239" o:gfxdata="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cnwu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4053;top:24;height:2239;width:20;" fillcolor="#FFFFFF [3201]" filled="t" stroked="f" coordsize="20,2239" o:gfxdata="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4BfLsAAADb&#10;AAAADwAAAAAAAAABACAAAAAiAAAAZHJzL2Rvd25yZXYueG1sUEsBAhQAFAAAAAgAh07iQDMvBZ47&#10;AAAAOQAAABAAAAAAAAAAAQAgAAAACgEAAGRycy9zaGFwZXhtbC54bWxQSwUGAAAAAAYABgBbAQAA&#10;tAMAAAAA&#10;" path="m0,0l0,2238e">
                  <v:fill on="t" focussize="0,0"/>
                  <v:stroke on="f" weight="1pt" miterlimit="8" joinstyle="miter"/>
                  <v:imagedata o:title=""/>
                  <o:lock v:ext="edit" aspectratio="f"/>
                </v:shape>
                <v:shape id="_x0000_s1026" o:spid="_x0000_s1026" o:spt="100" style="position:absolute;left:8059;top:33;height:2239;width:20;" fillcolor="#FFFFFF [3201]" filled="t" stroked="f" coordsize="20,2239" o:gfxdata="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3CpOe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8078;top:14;height:2278;width:20;" fillcolor="#FFFFFF [3201]" filled="t" stroked="f" coordsize="20,2278" o:gfxdata="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FRt7sAAADb&#10;AAAADwAAAAAAAAABACAAAAAiAAAAZHJzL2Rvd25yZXYueG1sUEsBAhQAFAAAAAgAh07iQDMvBZ47&#10;AAAAOQAAABAAAAAAAAAAAQAgAAAACgEAAGRycy9zaGFwZXhtbC54bWxQSwUGAAAAAAYABgBbAQAA&#10;tAMAAAAA&#10;" path="m0,0l0,2277e">
                  <v:fill on="t" focussize="0,0"/>
                  <v:stroke on="f" weight="1pt" miterlimit="8" joinstyle="miter"/>
                  <v:imagedata o:title=""/>
                  <o:lock v:ext="edit" aspectratio="f"/>
                </v:shape>
                <v:shape id="_x0000_s1026" o:spid="_x0000_s1026" o:spt="202" type="#_x0000_t202" style="position:absolute;left:19;top:19;height:2258;width:4025;" filled="f" stroked="t" coordsize="21600,21600" o:gfxdata="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cmQw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txRdbwAAADb&#10;AAAADwAAAGRycy9kb3ducmV2LnhtbEWP3WrCQBSE7wXfYTlC73STFEWiq6C0YKlQ/x7gkD0mwezZ&#10;sLuN8e27gtDLYWa+YZbr3jSiI+drywrSSQKCuLC65lLB5fw5noPwAVljY5kUPMjDejUcLDHX9s5H&#10;6k6hFBHCPkcFVQhtLqUvKjLoJ7Yljt7VOoMhSldK7fAe4aaRWZLMpMGa40KFLW0rKm6nX6Pgw+8e&#10;GV2mm1l32Lsf/J7u0/5LqbdRmixABOrDf/jV3mkF7xk8v8QfIF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cUXW8AAAA&#10;2wAAAA8AAAAAAAAAAQAgAAAAIgAAAGRycy9kb3ducmV2LnhtbFBLAQIUABQAAAAIAIdO4kAzLwWe&#10;OwAAADkAAAAQAAAAAAAAAAEAIAAAAAsBAABkcnMvc2hhcGV4bWwueG1sUEsFBgAAAAAGAAYAWwEA&#10;ALUD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v:textbox>
                </v:shape>
                <w10:wrap type="none"/>
                <w10:anchorlock/>
              </v:group>
            </w:pict>
          </mc:Fallback>
        </mc:AlternateContent>
      </w:r>
    </w:p>
    <w:p>
      <w:pPr>
        <w:wordWrap w:val="0"/>
        <w:spacing w:line="420" w:lineRule="exact"/>
        <w:ind w:firstLine="490" w:firstLineChars="200"/>
        <w:jc w:val="right"/>
        <w:outlineLvl w:val="9"/>
        <w:rPr>
          <w:rFonts w:hint="eastAsia" w:ascii="仿宋" w:hAnsi="仿宋" w:eastAsia="仿宋" w:cs="仿宋"/>
          <w:color w:val="auto"/>
          <w:kern w:val="0"/>
          <w:sz w:val="24"/>
          <w:highlight w:val="none"/>
        </w:rPr>
      </w:pPr>
    </w:p>
    <w:p>
      <w:pPr>
        <w:spacing w:line="420" w:lineRule="exact"/>
        <w:ind w:firstLine="490" w:firstLineChars="200"/>
        <w:jc w:val="right"/>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spacing w:line="420" w:lineRule="exact"/>
        <w:ind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pPr>
        <w:outlineLvl w:val="9"/>
        <w:rPr>
          <w:rFonts w:hint="eastAsia"/>
          <w:highlight w:val="none"/>
        </w:rPr>
      </w:pPr>
    </w:p>
    <w:p>
      <w:pPr>
        <w:wordWrap w:val="0"/>
        <w:spacing w:line="420" w:lineRule="exact"/>
        <w:ind w:right="480"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日 </w:t>
      </w: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6"/>
          <w:szCs w:val="36"/>
          <w:highlight w:val="none"/>
          <w:lang w:val="en-US" w:eastAsia="zh-CN"/>
        </w:rPr>
        <w:t>3</w:t>
      </w:r>
      <w:r>
        <w:rPr>
          <w:rFonts w:hint="eastAsia" w:ascii="仿宋" w:hAnsi="仿宋" w:eastAsia="仿宋" w:cs="仿宋"/>
          <w:b/>
          <w:bCs/>
          <w:color w:val="auto"/>
          <w:sz w:val="36"/>
          <w:szCs w:val="36"/>
          <w:highlight w:val="none"/>
        </w:rPr>
        <w:t>、授权委托书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致：采购人名称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本授权书声明：注册于（投标人地址）的（投标人名称）法定代表人（负责人）姓名、职务或职称）代表本公司授权（姓名）为本单位的合法代理人，参与贵方组织的（项目名称及项目编号） 的投标、谈判、签约等具体工作，并签署全部有关文件、协议及合同。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我单位对被授权人的上述经济活动负全部责任。在撤销授权的书面通知前，本授权书一直有效。被授权人在授权书有效期内签署的所有文件不因授权的撤消而失效。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tabs>
          <w:tab w:val="left" w:pos="780"/>
        </w:tabs>
        <w:kinsoku w:val="0"/>
        <w:overflowPunct w:val="0"/>
        <w:adjustRightInd w:val="0"/>
        <w:snapToGrid w:val="0"/>
        <w:spacing w:before="12"/>
        <w:outlineLvl w:val="9"/>
        <w:rPr>
          <w:rFonts w:hint="eastAsia" w:ascii="仿宋" w:hAnsi="仿宋" w:eastAsia="仿宋" w:cs="仿宋"/>
          <w:color w:val="auto"/>
          <w:sz w:val="4"/>
          <w:szCs w:val="4"/>
          <w:highlight w:val="none"/>
        </w:rPr>
      </w:pPr>
    </w:p>
    <w:p>
      <w:pPr>
        <w:pStyle w:val="9"/>
        <w:numPr>
          <w:ilvl w:val="0"/>
          <w:numId w:val="0"/>
        </w:numPr>
        <w:kinsoku w:val="0"/>
        <w:overflowPunct w:val="0"/>
        <w:adjustRightInd w:val="0"/>
        <w:snapToGrid w:val="0"/>
        <w:spacing w:line="200" w:lineRule="atLeast"/>
        <w:ind w:right="1947" w:rightChars="795"/>
        <w:jc w:val="center"/>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6515" cy="1458595"/>
                <wp:effectExtent l="0" t="0" r="50800" b="33020"/>
                <wp:docPr id="28" name="组合 28"/>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33"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wps:txbx>
                        <wps:bodyPr lIns="0" tIns="0" rIns="0" bIns="0" upright="1"/>
                      </wps:wsp>
                      <wps:wsp>
                        <wps:cNvPr id="12" name="文本框 1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">
                <o:lock v:ext="edit" rotation="t" aspectratio="f"/>
                <v:shape id="任意多边形 1" o:spid="_x0000_s1026" o:spt="100" style="position:absolute;left:4;top:9;height:20;width:8079;" filled="f" stroked="t" coordsize="8079,20" o:gfxdata="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C4NG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t" coordsize="21600,21600" o:gfxdata="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G7k2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sWkNFbkAAADb&#10;AAAADwAAAGRycy9kb3ducmV2LnhtbEVP24rCMBB9X/Afwgi+rWkLylKNguKCsoLr5QOGZmyLzaQk&#10;2Vr/fiMIvs3hXGe+7E0jOnK+tqwgHScgiAuray4VXM7fn18gfEDW2FgmBQ/ysFwMPuaYa3vnI3Wn&#10;UIoYwj5HBVUIbS6lLyoy6Me2JY7c1TqDIUJXSu3wHsNNI7MkmUqDNceGCltaV1TcTn9GwcZvHxld&#10;Jqtp97t3B/yZ7NN+p9RomCYzEIH68Ba/3Fsd52fw/CUeIB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FpDRW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v:textbox>
                </v:shape>
                <w10:wrap type="none"/>
                <w10:anchorlock/>
              </v:group>
            </w:pict>
          </mc:Fallback>
        </mc:AlternateContent>
      </w:r>
    </w:p>
    <w:p>
      <w:pPr>
        <w:pStyle w:val="9"/>
        <w:numPr>
          <w:ilvl w:val="0"/>
          <w:numId w:val="0"/>
        </w:numPr>
        <w:kinsoku w:val="0"/>
        <w:overflowPunct w:val="0"/>
        <w:adjustRightInd w:val="0"/>
        <w:snapToGrid w:val="0"/>
        <w:spacing w:line="200" w:lineRule="atLeast"/>
        <w:ind w:right="0" w:rightChars="0"/>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7150" cy="1384935"/>
                <wp:effectExtent l="0" t="0" r="53340" b="49530"/>
                <wp:docPr id="36" name="组合 36"/>
                <wp:cNvGraphicFramePr/>
                <a:graphic xmlns:a="http://schemas.openxmlformats.org/drawingml/2006/main">
                  <a:graphicData uri="http://schemas.microsoft.com/office/word/2010/wordprocessingGroup">
                    <wpg:wgp>
                      <wpg:cNvGrpSpPr>
                        <a:grpSpLocks noRot="1"/>
                      </wpg:cNvGrpSpPr>
                      <wpg:grpSpPr>
                        <a:xfrm>
                          <a:off x="0" y="0"/>
                          <a:ext cx="5137150" cy="1384935"/>
                          <a:chOff x="0" y="0"/>
                          <a:chExt cx="8089" cy="2181"/>
                        </a:xfrm>
                      </wpg:grpSpPr>
                      <wps:wsp>
                        <wps:cNvPr id="37"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wps:txbx>
                        <wps:bodyPr lIns="0" tIns="0" rIns="0" bIns="0" upright="1"/>
                      </wps:wsp>
                    </wpg:wgp>
                  </a:graphicData>
                </a:graphic>
              </wp:inline>
            </w:drawing>
          </mc:Choice>
          <mc:Fallback>
            <w:pict>
              <v:group id="_x0000_s1026" o:spid="_x0000_s1026" o:spt="203" style="height:109.05pt;width:404.5pt;" coordsize="8089,2181" o:gfxdata="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AAAAABkcnMvUEsBAhQAFAAAAAgAh07i&#10;QPCHxSPVAAAABQEAAA8AAAAAAAAAAQAgAAAAIgAAAGRycy9kb3ducmV2LnhtbFBLAQIUABQAAAAI&#10;AIdO4kDOLr+S1QQAAC0iAAAOAAAAAAAAAAEAIAAAACQBAABkcnMvZTJvRG9jLnhtbFBLBQYAAAAA&#10;BgAGAFkBAABrCAAAAAA=&#10;">
                <o:lock v:ext="edit" rotation="t" aspectratio="f"/>
                <v:shape id="任意多边形 34" o:spid="_x0000_s1026" o:spt="100" style="position:absolute;left:4;top:9;height:20;width:8079;" filled="f" stroked="t" coordsize="8079,20" o:gfxdata="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ebS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t" coordsize="21600,21600" o:gfxdata="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YGQ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v:textbox>
                </v:shape>
                <v:shape id="文本框 45" o:spid="_x0000_s1026" o:spt="202" type="#_x0000_t202" style="position:absolute;left:4044;top:19;height:2142;width:4025;" filled="f" stroked="t" coordsize="21600,21600" o:gfxdata="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yFe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v:textbox>
                </v:shape>
                <w10:wrap type="none"/>
                <w10:anchorlock/>
              </v:group>
            </w:pict>
          </mc:Fallback>
        </mc:AlternateContent>
      </w: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被授权代表（</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投标人法定代表人（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p>
    <w:p>
      <w:pPr>
        <w:pStyle w:val="9"/>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（盖章）</w:t>
      </w: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4"/>
          <w:highlight w:val="none"/>
        </w:rPr>
      </w:pP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0"/>
          <w:highlight w:val="none"/>
        </w:rPr>
      </w:pPr>
      <w:r>
        <w:rPr>
          <w:rFonts w:hint="eastAsia" w:ascii="仿宋" w:hAnsi="仿宋" w:eastAsia="仿宋" w:cs="仿宋"/>
          <w:color w:val="auto"/>
          <w:sz w:val="24"/>
          <w:highlight w:val="none"/>
        </w:rPr>
        <w:t xml:space="preserve"> 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 w:val="20"/>
          <w:highlight w:val="none"/>
        </w:rPr>
        <w:t xml:space="preserve">               </w:t>
      </w:r>
    </w:p>
    <w:p>
      <w:pPr>
        <w:pStyle w:val="31"/>
        <w:outlineLvl w:val="9"/>
        <w:rPr>
          <w:rFonts w:hint="eastAsia" w:ascii="仿宋" w:hAnsi="仿宋" w:eastAsia="仿宋" w:cs="仿宋"/>
          <w:b/>
          <w:bCs/>
          <w:color w:val="auto"/>
          <w:sz w:val="36"/>
          <w:szCs w:val="36"/>
          <w:highlight w:val="none"/>
        </w:rPr>
      </w:pPr>
      <w:r>
        <w:rPr>
          <w:rFonts w:hint="eastAsia" w:ascii="仿宋" w:hAnsi="仿宋" w:eastAsia="仿宋" w:cs="仿宋"/>
          <w:color w:val="auto"/>
          <w:highlight w:val="none"/>
        </w:rPr>
        <w:br w:type="page"/>
      </w:r>
    </w:p>
    <w:p>
      <w:pPr>
        <w:pStyle w:val="9"/>
        <w:numPr>
          <w:ilvl w:val="0"/>
          <w:numId w:val="0"/>
        </w:numPr>
        <w:shd w:val="clear" w:color="auto" w:fill="auto"/>
        <w:kinsoku w:val="0"/>
        <w:overflowPunct w:val="0"/>
        <w:spacing w:before="34" w:line="357" w:lineRule="auto"/>
        <w:ind w:left="480" w:leftChars="0" w:right="126"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4、</w:t>
      </w:r>
      <w:r>
        <w:rPr>
          <w:rFonts w:hint="eastAsia" w:ascii="仿宋" w:hAnsi="仿宋" w:eastAsia="仿宋" w:cs="仿宋"/>
          <w:b/>
          <w:bCs/>
          <w:color w:val="auto"/>
          <w:sz w:val="36"/>
          <w:szCs w:val="36"/>
          <w:highlight w:val="none"/>
        </w:rPr>
        <w:t>参加政府采购活动前3年内</w:t>
      </w:r>
      <w:bookmarkStart w:id="94" w:name="_Toc515647812"/>
      <w:bookmarkStart w:id="95" w:name="_Toc6008"/>
      <w:bookmarkStart w:id="96" w:name="_Toc1137"/>
      <w:r>
        <w:rPr>
          <w:rFonts w:hint="eastAsia" w:ascii="仿宋" w:hAnsi="仿宋" w:eastAsia="仿宋" w:cs="仿宋"/>
          <w:b/>
          <w:bCs/>
          <w:color w:val="auto"/>
          <w:sz w:val="36"/>
          <w:szCs w:val="36"/>
          <w:highlight w:val="none"/>
        </w:rPr>
        <w:t>在经营活动中没有重大违法记录的书面声明</w:t>
      </w:r>
      <w:bookmarkEnd w:id="94"/>
      <w:bookmarkEnd w:id="95"/>
      <w:bookmarkEnd w:id="96"/>
    </w:p>
    <w:p>
      <w:pPr>
        <w:pStyle w:val="13"/>
        <w:shd w:val="clear" w:color="auto" w:fill="auto"/>
        <w:tabs>
          <w:tab w:val="left" w:pos="5580"/>
        </w:tabs>
        <w:spacing w:line="240" w:lineRule="atLeast"/>
        <w:ind w:left="1169" w:leftChars="257" w:hanging="540"/>
        <w:jc w:val="center"/>
        <w:outlineLvl w:val="9"/>
        <w:rPr>
          <w:rFonts w:hint="eastAsia" w:ascii="仿宋" w:hAnsi="仿宋" w:eastAsia="仿宋" w:cs="仿宋"/>
          <w:b/>
          <w:color w:val="auto"/>
          <w:sz w:val="24"/>
          <w:highlight w:val="none"/>
        </w:rPr>
      </w:pPr>
    </w:p>
    <w:p>
      <w:pPr>
        <w:pStyle w:val="13"/>
        <w:shd w:val="clear" w:color="auto" w:fill="auto"/>
        <w:tabs>
          <w:tab w:val="left" w:pos="5580"/>
        </w:tabs>
        <w:spacing w:line="240" w:lineRule="atLeast"/>
        <w:ind w:left="1169" w:leftChars="257" w:hanging="540"/>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说明：1.投标人应按照相关法规规定如实作出说明。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1307" w:firstLineChars="534"/>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2．按照招标文件的规定加盖单位章（自然人投标的无需盖章，需要签字）。</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outlineLvl w:val="9"/>
        <w:rPr>
          <w:rFonts w:hint="eastAsia" w:ascii="仿宋" w:hAnsi="仿宋" w:eastAsia="仿宋" w:cs="仿宋"/>
          <w:color w:val="auto"/>
          <w:spacing w:val="0"/>
          <w:w w:val="100"/>
          <w:kern w:val="0"/>
          <w:position w:val="0"/>
          <w:sz w:val="24"/>
          <w:szCs w:val="24"/>
          <w:highlight w:val="none"/>
          <w:u w:val="none"/>
          <w:shd w:val="clear" w:color="auto" w:fill="auto"/>
          <w:lang w:val="en-US" w:eastAsia="zh-CN" w:bidi="en-US"/>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zh-CN" w:bidi="en-US"/>
        </w:rPr>
      </w:pPr>
    </w:p>
    <w:p>
      <w:pPr>
        <w:rPr>
          <w:rFonts w:hint="eastAsia" w:ascii="仿宋" w:hAnsi="仿宋" w:eastAsia="仿宋" w:cs="仿宋"/>
          <w:b/>
          <w:bCs/>
          <w:color w:val="auto"/>
          <w:spacing w:val="0"/>
          <w:w w:val="100"/>
          <w:position w:val="0"/>
          <w:sz w:val="36"/>
          <w:szCs w:val="36"/>
          <w:highlight w:val="none"/>
          <w:shd w:val="clear" w:color="auto" w:fill="auto"/>
          <w:lang w:val="en-US" w:eastAsia="zh-CN"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br w:type="page"/>
      </w: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en-US"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t>5、</w:t>
      </w:r>
      <w:r>
        <w:rPr>
          <w:rFonts w:hint="eastAsia" w:ascii="仿宋" w:hAnsi="仿宋" w:eastAsia="仿宋" w:cs="仿宋"/>
          <w:b/>
          <w:bCs/>
          <w:color w:val="auto"/>
          <w:spacing w:val="0"/>
          <w:w w:val="100"/>
          <w:position w:val="0"/>
          <w:sz w:val="36"/>
          <w:szCs w:val="36"/>
          <w:highlight w:val="none"/>
          <w:shd w:val="clear" w:color="auto" w:fill="auto"/>
          <w:lang w:val="en-US" w:eastAsia="en-US" w:bidi="en-US"/>
        </w:rPr>
        <w:t>投标保证金缴纳凭证或投标担保函</w:t>
      </w:r>
    </w:p>
    <w:p>
      <w:pPr>
        <w:shd w:val="clear" w:color="auto" w:fill="auto"/>
        <w:ind w:firstLine="490" w:firstLineChars="200"/>
        <w:outlineLvl w:val="9"/>
        <w:rPr>
          <w:rFonts w:hint="eastAsia" w:ascii="仿宋" w:hAnsi="仿宋" w:eastAsia="仿宋" w:cs="仿宋"/>
          <w:color w:val="auto"/>
          <w:sz w:val="24"/>
          <w:highlight w:val="none"/>
        </w:rPr>
      </w:pPr>
      <w:bookmarkStart w:id="97" w:name="_Toc494296991"/>
      <w:bookmarkStart w:id="98" w:name="_Toc494296665"/>
    </w:p>
    <w:bookmarkEnd w:id="97"/>
    <w:bookmarkEnd w:id="98"/>
    <w:p>
      <w:pPr>
        <w:pStyle w:val="6"/>
        <w:shd w:val="clear" w:color="auto" w:fill="auto"/>
        <w:outlineLvl w:val="9"/>
        <w:rPr>
          <w:rFonts w:hint="eastAsia" w:ascii="仿宋" w:hAnsi="仿宋" w:eastAsia="仿宋" w:cs="仿宋"/>
          <w:color w:val="auto"/>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pPr>
        <w:pStyle w:val="6"/>
        <w:shd w:val="clear" w:color="auto" w:fill="auto"/>
        <w:outlineLvl w:val="9"/>
        <w:rPr>
          <w:rFonts w:hint="eastAsia" w:ascii="仿宋" w:hAnsi="仿宋" w:eastAsia="仿宋" w:cs="仿宋"/>
          <w:color w:val="auto"/>
          <w:highlight w:val="none"/>
        </w:rPr>
      </w:pPr>
    </w:p>
    <w:p>
      <w:pPr>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shd w:val="clear" w:color="auto" w:fill="auto"/>
        <w:outlineLvl w:val="9"/>
        <w:rPr>
          <w:rFonts w:hint="eastAsia" w:ascii="仿宋" w:hAnsi="仿宋" w:eastAsia="仿宋" w:cs="仿宋"/>
          <w:color w:val="auto"/>
          <w:sz w:val="28"/>
          <w:szCs w:val="28"/>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打款凭证</w:t>
            </w:r>
          </w:p>
        </w:tc>
      </w:tr>
    </w:tbl>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both"/>
        <w:outlineLvl w:val="9"/>
        <w:rPr>
          <w:rFonts w:hint="eastAsia" w:ascii="仿宋" w:hAnsi="仿宋" w:eastAsia="仿宋" w:cs="仿宋"/>
          <w:color w:val="auto"/>
          <w:sz w:val="28"/>
          <w:szCs w:val="28"/>
          <w:highlight w:val="none"/>
        </w:rPr>
      </w:pP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政府采购投标担保函 （项目用）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编号：</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default"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（采购人或采购代理机构）：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鉴于               （以下简称“投标人”）拟参加编号为                 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项目（以下简称“本项目”）投标，根据本项目采购文件，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一、保证责任的情形及保证金额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（一）在投标人出现下列情形之一时，我方承担保证责任：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1．中标后投标人无正当理由不与采购人或者采购代理机构签订《政府采购合同》；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2．询价通知书规定的投标人应当缴纳保证金的其他情形。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（二）我方承担保证责任的最高金额为人民币      元（大写            ），即本项目的投标保证金金额。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二、保证的方式及保证期间</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我方保证的方式为：连带责任保证。</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我方的保证期间为：自本保函生效之日起    个月止。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三、承担保证责任的程序</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2．我方在收到索赔通知及相关证明材料后，在　　　个工作日内进行审查，符合应承担保证责任情形的，我方应按照你方的要求代投标人向你方支付投标保证金。</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四、保证责任的终止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1．保证期间届满你方未向我方书面主张保证责任的，自保证期间届满次日起，我方保证责任自动终止。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3．按照法律法规的规定或出现我方保证责任终止的其它情形的，我方在本保函项下的保证责任亦终止。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五、免责条款</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2．因你方原因致使投标人发生本保函第一条第（一）款约定情形的，我方不承担保证责任。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3．因不可抗力造成投标人发生本保函第一条约定情形的，我方不承担保证责任。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4．你方或其他有权机关对询价通知书进行任何澄清或修改，加重我方保证责任的，我方对加重部分不承担保证责任，但该澄清或修改经我方事先书面同意的除外。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六、争议的解决</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因本保函发生的纠纷，由你我双方协商解决，协商不成的，通过诉讼程序解决，诉讼管辖地法院为          法院。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七、保函的生效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本保函自我方加盖公章之日起生效。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 w:val="left" w:pos="7010"/>
          <w:tab w:val="right" w:pos="9116"/>
        </w:tabs>
        <w:kinsoku/>
        <w:wordWrap/>
        <w:overflowPunct/>
        <w:topLinePunct w:val="0"/>
        <w:autoSpaceDE/>
        <w:autoSpaceDN/>
        <w:bidi w:val="0"/>
        <w:adjustRightInd/>
        <w:snapToGrid/>
        <w:spacing w:line="500" w:lineRule="atLeast"/>
        <w:jc w:val="lef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ab/>
      </w: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保证人：（公章）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jc w:val="center"/>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sectPr>
          <w:pgSz w:w="11905" w:h="16838"/>
          <w:pgMar w:top="1440" w:right="1417" w:bottom="1440" w:left="1417" w:header="850" w:footer="992" w:gutter="0"/>
          <w:pgNumType w:fmt="decimal"/>
          <w:cols w:space="0" w:num="1"/>
          <w:rtlGutter w:val="0"/>
          <w:docGrid w:type="linesAndChars" w:linePitch="335" w:charSpace="1057"/>
        </w:sect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年     月     日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6、投标企业须提供投标人（被授权在职人员）近期社保证明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说明：复印件上应加盖本单位章</w:t>
      </w:r>
    </w:p>
    <w:p>
      <w:pP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p>
    <w:p>
      <w:pPr>
        <w:ind w:firstLine="490" w:firstLineChars="200"/>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outlineLvl w:val="9"/>
        <w:rPr>
          <w:rFonts w:hint="default"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outlineLvl w:val="9"/>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9、</w:t>
      </w:r>
      <w:r>
        <w:rPr>
          <w:rFonts w:hint="eastAsia" w:ascii="仿宋" w:hAnsi="仿宋" w:eastAsia="仿宋" w:cs="仿宋"/>
          <w:b/>
          <w:bCs/>
          <w:color w:val="auto"/>
          <w:highlight w:val="none"/>
        </w:rPr>
        <w:t>投标人须知资料表要求的其他资格证明文件</w:t>
      </w: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bookmarkStart w:id="99" w:name="_Toc11180"/>
      <w:bookmarkStart w:id="100" w:name="_Toc5695"/>
      <w:bookmarkStart w:id="101" w:name="_Toc22967"/>
      <w:bookmarkStart w:id="102" w:name="_Toc515647816"/>
    </w:p>
    <w:p>
      <w:pPr>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bookmarkEnd w:id="99"/>
      <w:bookmarkEnd w:id="100"/>
      <w:bookmarkEnd w:id="101"/>
      <w:bookmarkEnd w:id="102"/>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1、投标函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2、开标一览表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3、货物说明一览表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4、投标分项报价表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5、技术规格偏离表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6、商务条款偏离表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7、投标人基本情况表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8、近三年（2019年1月1日至今）类似项目业绩表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9、中小企业声明函(货物)</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10、《残疾人福利性单位声明函》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11、评分标准和细则中技术部分证明材料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12、评分标准和细则中技术部分证明材料（格式自拟）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13、投标人认为有必要提供的其他证明材料（格式自拟）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br w:type="page"/>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1</w:t>
      </w:r>
      <w:r>
        <w:rPr>
          <w:rFonts w:hint="eastAsia" w:ascii="仿宋" w:hAnsi="仿宋" w:eastAsia="仿宋" w:cs="仿宋"/>
          <w:b/>
          <w:bCs/>
          <w:color w:val="auto"/>
          <w:sz w:val="36"/>
          <w:szCs w:val="36"/>
          <w:highlight w:val="none"/>
        </w:rPr>
        <w:t>、投标函</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 xml:space="preserve">                     </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为响应你方组织的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项目的招标项目编号为：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，我方愿参与投标。</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我方确认收到贵方提供的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none"/>
        </w:rPr>
        <w:t>招标</w:t>
      </w:r>
      <w:r>
        <w:rPr>
          <w:rFonts w:hint="eastAsia" w:ascii="仿宋" w:hAnsi="仿宋" w:eastAsia="仿宋" w:cs="仿宋"/>
          <w:color w:val="auto"/>
          <w:kern w:val="0"/>
          <w:sz w:val="24"/>
          <w:highlight w:val="none"/>
        </w:rPr>
        <w:t>文件的全部内容。</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(投标人名称)      </w:t>
      </w:r>
      <w:r>
        <w:rPr>
          <w:rFonts w:hint="eastAsia" w:ascii="仿宋" w:hAnsi="仿宋" w:eastAsia="仿宋" w:cs="仿宋"/>
          <w:color w:val="auto"/>
          <w:kern w:val="0"/>
          <w:sz w:val="24"/>
          <w:highlight w:val="none"/>
        </w:rPr>
        <w:t>作为投标人正式授权</w:t>
      </w:r>
      <w:r>
        <w:rPr>
          <w:rFonts w:hint="eastAsia" w:ascii="仿宋" w:hAnsi="仿宋" w:eastAsia="仿宋" w:cs="仿宋"/>
          <w:color w:val="auto"/>
          <w:kern w:val="0"/>
          <w:sz w:val="24"/>
          <w:highlight w:val="none"/>
          <w:u w:val="single"/>
        </w:rPr>
        <w:t xml:space="preserve">  (授权代表全名, 职务)  </w:t>
      </w:r>
      <w:r>
        <w:rPr>
          <w:rFonts w:hint="eastAsia" w:ascii="仿宋" w:hAnsi="仿宋" w:eastAsia="仿宋" w:cs="仿宋"/>
          <w:color w:val="auto"/>
          <w:kern w:val="0"/>
          <w:sz w:val="24"/>
          <w:highlight w:val="none"/>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我方已完全明白招标文件的所有条款要求，并申明如下：</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（一）按招标文件提供的全部货物与相关服务的投标总价详见《报价一览表》。</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（二）本投标文件的有效期为投标截止时间起</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（三）我方同意按照贵方可能提出的要求而提供与投标有关的任何其它数据、信息或资料。</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四</w:t>
      </w:r>
      <w:r>
        <w:rPr>
          <w:rFonts w:hint="eastAsia" w:ascii="仿宋" w:hAnsi="仿宋" w:eastAsia="仿宋" w:cs="仿宋"/>
          <w:color w:val="auto"/>
          <w:kern w:val="0"/>
          <w:sz w:val="24"/>
          <w:highlight w:val="none"/>
        </w:rPr>
        <w:t>）我方理解贵方不一定接受最低投标价或任何贵方可能收到的投标。</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五</w:t>
      </w:r>
      <w:r>
        <w:rPr>
          <w:rFonts w:hint="eastAsia" w:ascii="仿宋" w:hAnsi="仿宋" w:eastAsia="仿宋" w:cs="仿宋"/>
          <w:color w:val="auto"/>
          <w:kern w:val="0"/>
          <w:sz w:val="24"/>
          <w:highlight w:val="none"/>
        </w:rPr>
        <w:t>）我方如果中标，将保证履行招标文件及其澄清、修改文件（如果有）中的全部责任和义务，按质、按量、按期完成《招标内容》及《合同书》中的全部任务。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六</w:t>
      </w:r>
      <w:r>
        <w:rPr>
          <w:rFonts w:hint="eastAsia" w:ascii="仿宋" w:hAnsi="仿宋" w:eastAsia="仿宋" w:cs="仿宋"/>
          <w:color w:val="auto"/>
          <w:kern w:val="0"/>
          <w:sz w:val="24"/>
          <w:highlight w:val="none"/>
        </w:rPr>
        <w:t>）如我方被授予合同，我方承诺支付就本次招标应支付或将支付的中标服务费（详见按招标文件要求格式填写的《中标服务费支付承诺书》）。</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七</w:t>
      </w:r>
      <w:r>
        <w:rPr>
          <w:rFonts w:hint="eastAsia" w:ascii="仿宋" w:hAnsi="仿宋" w:eastAsia="仿宋" w:cs="仿宋"/>
          <w:color w:val="auto"/>
          <w:kern w:val="0"/>
          <w:sz w:val="24"/>
          <w:highlight w:val="none"/>
        </w:rPr>
        <w:t>）我方作为在法律、财务和运作上独立于采购人、招标代理机构的投标人，在此保证所提交的所有文件和全部说明是真实的和正确的。</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八</w:t>
      </w:r>
      <w:r>
        <w:rPr>
          <w:rFonts w:hint="eastAsia" w:ascii="仿宋" w:hAnsi="仿宋" w:eastAsia="仿宋" w:cs="仿宋"/>
          <w:color w:val="auto"/>
          <w:kern w:val="0"/>
          <w:sz w:val="24"/>
          <w:highlight w:val="none"/>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九</w:t>
      </w:r>
      <w:r>
        <w:rPr>
          <w:rFonts w:hint="eastAsia" w:ascii="仿宋" w:hAnsi="仿宋" w:eastAsia="仿宋" w:cs="仿宋"/>
          <w:color w:val="auto"/>
          <w:kern w:val="0"/>
          <w:sz w:val="24"/>
          <w:highlight w:val="none"/>
        </w:rPr>
        <w:t>）我方与其他投标人不存在单位负责人为同一人或者存在直接控股、管理关系。</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（十）我方承诺未为本项目提供整体设计、规范编制或者项目管理、监理、检测等服务。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eastAsia="zh-CN"/>
        </w:rPr>
        <w:t>一</w:t>
      </w:r>
      <w:r>
        <w:rPr>
          <w:rFonts w:hint="eastAsia" w:ascii="仿宋" w:hAnsi="仿宋" w:eastAsia="仿宋" w:cs="仿宋"/>
          <w:color w:val="auto"/>
          <w:kern w:val="0"/>
          <w:sz w:val="24"/>
          <w:highlight w:val="none"/>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.邮政编码：</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    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ind w:right="48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（公章）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法定代表人或委托人：</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签字或盖章</w:t>
      </w:r>
      <w:r>
        <w:rPr>
          <w:rFonts w:hint="eastAsia" w:ascii="仿宋" w:hAnsi="仿宋" w:eastAsia="仿宋" w:cs="仿宋"/>
          <w:color w:val="auto"/>
          <w:kern w:val="0"/>
          <w:sz w:val="24"/>
          <w:highlight w:val="none"/>
        </w:rPr>
        <w:t xml:space="preserve">）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pStyle w:val="31"/>
        <w:outlineLvl w:val="9"/>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pPr>
        <w:pStyle w:val="6"/>
        <w:shd w:val="clear" w:color="auto" w:fill="auto"/>
        <w:tabs>
          <w:tab w:val="left" w:pos="5580"/>
        </w:tabs>
        <w:spacing w:line="240" w:lineRule="atLeast"/>
        <w:ind w:firstLine="3383" w:firstLineChars="927"/>
        <w:jc w:val="both"/>
        <w:outlineLvl w:val="9"/>
        <w:rPr>
          <w:rFonts w:hint="eastAsia" w:ascii="仿宋" w:hAnsi="仿宋" w:eastAsia="仿宋" w:cs="仿宋"/>
          <w:color w:val="auto"/>
          <w:highlight w:val="none"/>
        </w:rPr>
      </w:pPr>
      <w:r>
        <w:rPr>
          <w:rFonts w:hint="eastAsia" w:ascii="仿宋" w:hAnsi="仿宋" w:eastAsia="仿宋" w:cs="仿宋"/>
          <w:b/>
          <w:bCs w:val="0"/>
          <w:color w:val="auto"/>
          <w:sz w:val="36"/>
          <w:szCs w:val="24"/>
          <w:highlight w:val="none"/>
          <w:lang w:val="en-US" w:eastAsia="zh-CN"/>
        </w:rPr>
        <w:t>2</w:t>
      </w:r>
      <w:r>
        <w:rPr>
          <w:rFonts w:hint="eastAsia" w:ascii="仿宋" w:hAnsi="仿宋" w:eastAsia="仿宋" w:cs="仿宋"/>
          <w:b/>
          <w:bCs w:val="0"/>
          <w:color w:val="auto"/>
          <w:sz w:val="36"/>
          <w:szCs w:val="24"/>
          <w:highlight w:val="none"/>
          <w:lang w:eastAsia="zh-CN"/>
        </w:rPr>
        <w:t>、</w:t>
      </w:r>
      <w:r>
        <w:rPr>
          <w:rFonts w:hint="eastAsia" w:ascii="仿宋" w:hAnsi="仿宋" w:eastAsia="仿宋" w:cs="仿宋"/>
          <w:b/>
          <w:bCs w:val="0"/>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outlineLvl w:val="9"/>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24"/>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2"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1" w:hRule="atLeast"/>
        </w:trPr>
        <w:tc>
          <w:tcPr>
            <w:tcW w:w="1621" w:type="dxa"/>
            <w:vMerge w:val="continue"/>
            <w:noWrap w:val="0"/>
            <w:vAlign w:val="center"/>
          </w:tcPr>
          <w:p>
            <w:pPr>
              <w:shd w:val="clear" w:color="auto" w:fill="auto"/>
              <w:jc w:val="center"/>
              <w:outlineLvl w:val="9"/>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bl>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03" w:name="_Toc10322"/>
      <w:bookmarkStart w:id="104" w:name="_Toc19182"/>
      <w:bookmarkStart w:id="105" w:name="_Toc9054"/>
      <w:bookmarkStart w:id="106" w:name="_Toc3162"/>
      <w:bookmarkStart w:id="107" w:name="_Toc9019"/>
      <w:bookmarkStart w:id="108" w:name="_Toc21651"/>
      <w:r>
        <w:rPr>
          <w:rFonts w:hint="eastAsia" w:ascii="仿宋" w:hAnsi="仿宋" w:eastAsia="仿宋" w:cs="仿宋"/>
          <w:b/>
          <w:bCs/>
          <w:color w:val="auto"/>
          <w:spacing w:val="0"/>
          <w:w w:val="100"/>
          <w:position w:val="0"/>
          <w:highlight w:val="none"/>
          <w:lang w:val="en-US" w:eastAsia="zh-CN"/>
        </w:rPr>
        <w:t>3、货物说明一览表</w:t>
      </w:r>
      <w:bookmarkEnd w:id="103"/>
      <w:bookmarkEnd w:id="104"/>
      <w:bookmarkEnd w:id="105"/>
      <w:bookmarkEnd w:id="106"/>
      <w:bookmarkEnd w:id="107"/>
      <w:bookmarkEnd w:id="108"/>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tbl>
      <w:tblPr>
        <w:tblStyle w:val="24"/>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Cs w:val="21"/>
                <w:highlight w:val="none"/>
                <w:lang w:eastAsia="zh-CN"/>
              </w:rPr>
              <w:t>品牌型号</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供货期</w:t>
            </w:r>
          </w:p>
        </w:tc>
        <w:tc>
          <w:tcPr>
            <w:tcW w:w="125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bl>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3"/>
        <w:shd w:val="clear" w:color="auto" w:fill="auto"/>
        <w:tabs>
          <w:tab w:val="left" w:pos="5370"/>
        </w:tabs>
        <w:spacing w:line="240" w:lineRule="atLeast"/>
        <w:ind w:left="1169" w:leftChars="257" w:hanging="540"/>
        <w:outlineLvl w:val="9"/>
        <w:rPr>
          <w:rFonts w:hint="eastAsia" w:ascii="宋体" w:hAnsi="宋体" w:eastAsia="宋体" w:cs="宋体"/>
          <w:color w:val="auto"/>
          <w:sz w:val="24"/>
          <w:highlight w:val="none"/>
        </w:rPr>
      </w:pPr>
    </w:p>
    <w:p>
      <w:pPr>
        <w:pStyle w:val="13"/>
        <w:shd w:val="clear" w:color="auto" w:fill="auto"/>
        <w:tabs>
          <w:tab w:val="left" w:pos="5370"/>
        </w:tabs>
        <w:spacing w:line="240" w:lineRule="atLeast"/>
        <w:ind w:left="1169" w:leftChars="257" w:hanging="54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sectPr>
          <w:footerReference r:id="rId11" w:type="default"/>
          <w:pgSz w:w="11905" w:h="16838"/>
          <w:pgMar w:top="1440" w:right="1417" w:bottom="1440" w:left="1417" w:header="850" w:footer="992" w:gutter="0"/>
          <w:pgNumType w:fmt="decimal"/>
          <w:cols w:space="0" w:num="1"/>
          <w:rtlGutter w:val="0"/>
          <w:docGrid w:type="linesAndChars" w:linePitch="335" w:charSpace="1057"/>
        </w:sect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i w:val="0"/>
          <w:iCs w:val="0"/>
          <w:color w:val="auto"/>
          <w:spacing w:val="0"/>
          <w:w w:val="100"/>
          <w:position w:val="0"/>
          <w:highlight w:val="none"/>
        </w:rPr>
      </w:pPr>
      <w:bookmarkStart w:id="109" w:name="_Toc17635"/>
      <w:bookmarkStart w:id="110" w:name="_Toc24160"/>
      <w:bookmarkStart w:id="111" w:name="_Toc4302"/>
      <w:bookmarkStart w:id="112" w:name="_Toc1219"/>
      <w:bookmarkStart w:id="113" w:name="_Toc23637"/>
      <w:bookmarkStart w:id="114" w:name="_Toc4468"/>
      <w:r>
        <w:rPr>
          <w:rFonts w:hint="eastAsia" w:ascii="仿宋" w:hAnsi="仿宋" w:eastAsia="仿宋" w:cs="仿宋"/>
          <w:b/>
          <w:bCs/>
          <w:i w:val="0"/>
          <w:iCs w:val="0"/>
          <w:color w:val="auto"/>
          <w:spacing w:val="0"/>
          <w:w w:val="100"/>
          <w:position w:val="0"/>
          <w:highlight w:val="none"/>
          <w:lang w:val="en-US" w:eastAsia="zh-CN"/>
        </w:rPr>
        <w:t>4</w:t>
      </w:r>
      <w:r>
        <w:rPr>
          <w:rFonts w:hint="eastAsia" w:ascii="仿宋" w:hAnsi="仿宋" w:eastAsia="仿宋" w:cs="仿宋"/>
          <w:b/>
          <w:bCs/>
          <w:i w:val="0"/>
          <w:iCs w:val="0"/>
          <w:color w:val="auto"/>
          <w:spacing w:val="0"/>
          <w:w w:val="100"/>
          <w:position w:val="0"/>
          <w:highlight w:val="none"/>
          <w:lang w:eastAsia="zh-CN"/>
        </w:rPr>
        <w:t>、</w:t>
      </w:r>
      <w:r>
        <w:rPr>
          <w:rFonts w:hint="eastAsia" w:ascii="仿宋" w:hAnsi="仿宋" w:eastAsia="仿宋" w:cs="仿宋"/>
          <w:b/>
          <w:bCs/>
          <w:i w:val="0"/>
          <w:iCs w:val="0"/>
          <w:color w:val="auto"/>
          <w:spacing w:val="0"/>
          <w:w w:val="100"/>
          <w:position w:val="0"/>
          <w:highlight w:val="none"/>
        </w:rPr>
        <w:t>投标报价明细表</w:t>
      </w:r>
      <w:bookmarkEnd w:id="109"/>
      <w:bookmarkEnd w:id="110"/>
      <w:bookmarkEnd w:id="111"/>
      <w:bookmarkEnd w:id="112"/>
      <w:bookmarkEnd w:id="113"/>
      <w:bookmarkEnd w:id="114"/>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15" w:name="_Toc10498"/>
      <w:bookmarkStart w:id="116" w:name="_Toc21879"/>
      <w:bookmarkStart w:id="117" w:name="_Toc9703"/>
      <w:bookmarkStart w:id="118" w:name="_Toc1002"/>
      <w:bookmarkStart w:id="119" w:name="_Toc17844"/>
      <w:bookmarkStart w:id="120" w:name="_Toc15970"/>
      <w:r>
        <w:rPr>
          <w:rFonts w:hint="eastAsia" w:ascii="仿宋" w:hAnsi="仿宋" w:eastAsia="仿宋" w:cs="仿宋"/>
          <w:color w:val="auto"/>
          <w:sz w:val="24"/>
          <w:highlight w:val="none"/>
        </w:rPr>
        <w:t>项目名称:</w:t>
      </w:r>
      <w:bookmarkEnd w:id="115"/>
      <w:bookmarkEnd w:id="116"/>
      <w:bookmarkEnd w:id="117"/>
      <w:bookmarkEnd w:id="118"/>
      <w:bookmarkEnd w:id="119"/>
      <w:bookmarkEnd w:id="120"/>
      <w:r>
        <w:rPr>
          <w:rFonts w:hint="eastAsia" w:ascii="仿宋" w:hAnsi="仿宋" w:eastAsia="仿宋" w:cs="仿宋"/>
          <w:color w:val="auto"/>
          <w:sz w:val="24"/>
          <w:highlight w:val="none"/>
        </w:rPr>
        <w:t xml:space="preserve">                      </w:t>
      </w:r>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21" w:name="_Toc28736"/>
      <w:bookmarkStart w:id="122" w:name="_Toc27922"/>
      <w:bookmarkStart w:id="123" w:name="_Toc30794"/>
      <w:bookmarkStart w:id="124" w:name="_Toc28765"/>
      <w:bookmarkStart w:id="125" w:name="_Toc31050"/>
      <w:bookmarkStart w:id="126" w:name="_Toc12706"/>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w:t>
      </w:r>
      <w:bookmarkEnd w:id="121"/>
      <w:bookmarkEnd w:id="122"/>
      <w:bookmarkEnd w:id="123"/>
      <w:bookmarkEnd w:id="124"/>
      <w:bookmarkEnd w:id="125"/>
      <w:bookmarkEnd w:id="126"/>
      <w:r>
        <w:rPr>
          <w:rFonts w:hint="eastAsia" w:ascii="仿宋" w:hAnsi="仿宋" w:eastAsia="仿宋" w:cs="仿宋"/>
          <w:color w:val="auto"/>
          <w:sz w:val="24"/>
          <w:highlight w:val="none"/>
        </w:rPr>
        <w:t xml:space="preserve"> 　 </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highlight w:val="none"/>
        </w:rPr>
        <w:t>元（人民币）</w:t>
      </w:r>
    </w:p>
    <w:tbl>
      <w:tblPr>
        <w:tblStyle w:val="24"/>
        <w:tblW w:w="87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1"/>
        <w:gridCol w:w="1457"/>
        <w:gridCol w:w="1360"/>
        <w:gridCol w:w="1870"/>
        <w:gridCol w:w="825"/>
        <w:gridCol w:w="782"/>
        <w:gridCol w:w="739"/>
        <w:gridCol w:w="9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atLeast"/>
          <w:jc w:val="center"/>
        </w:trPr>
        <w:tc>
          <w:tcPr>
            <w:tcW w:w="821"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457"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品目名称</w:t>
            </w:r>
          </w:p>
        </w:tc>
        <w:tc>
          <w:tcPr>
            <w:tcW w:w="1360"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品牌型号</w:t>
            </w:r>
          </w:p>
        </w:tc>
        <w:tc>
          <w:tcPr>
            <w:tcW w:w="1870"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主要技术参数</w:t>
            </w:r>
          </w:p>
        </w:tc>
        <w:tc>
          <w:tcPr>
            <w:tcW w:w="825"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8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单位</w:t>
            </w:r>
          </w:p>
        </w:tc>
        <w:tc>
          <w:tcPr>
            <w:tcW w:w="739"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w:t>
            </w:r>
          </w:p>
        </w:tc>
        <w:tc>
          <w:tcPr>
            <w:tcW w:w="922"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bl>
    <w:p>
      <w:pPr>
        <w:pStyle w:val="38"/>
        <w:keepNext w:val="0"/>
        <w:keepLines w:val="0"/>
        <w:pageBreakBefore w:val="0"/>
        <w:widowControl w:val="0"/>
        <w:shd w:val="clear" w:color="auto" w:fill="auto"/>
        <w:kinsoku/>
        <w:wordWrap/>
        <w:overflowPunct/>
        <w:topLinePunct w:val="0"/>
        <w:autoSpaceDE/>
        <w:autoSpaceDN/>
        <w:bidi w:val="0"/>
        <w:adjustRightInd/>
        <w:snapToGrid/>
        <w:spacing w:before="0" w:after="0" w:line="357" w:lineRule="exact"/>
        <w:ind w:left="176" w:right="0" w:firstLine="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说明：</w:t>
      </w:r>
      <w:r>
        <w:rPr>
          <w:rFonts w:hint="eastAsia" w:ascii="仿宋" w:hAnsi="仿宋" w:eastAsia="仿宋" w:cs="仿宋"/>
          <w:color w:val="auto"/>
          <w:spacing w:val="0"/>
          <w:w w:val="100"/>
          <w:position w:val="0"/>
          <w:sz w:val="24"/>
          <w:szCs w:val="24"/>
          <w:highlight w:val="none"/>
          <w:lang w:val="en-US" w:eastAsia="en-US" w:bidi="en-US"/>
        </w:rPr>
        <w:t>1.</w:t>
      </w:r>
      <w:r>
        <w:rPr>
          <w:rFonts w:hint="eastAsia" w:ascii="仿宋" w:hAnsi="仿宋" w:eastAsia="仿宋" w:cs="仿宋"/>
          <w:color w:val="auto"/>
          <w:spacing w:val="0"/>
          <w:w w:val="100"/>
          <w:position w:val="0"/>
          <w:sz w:val="24"/>
          <w:szCs w:val="24"/>
          <w:highlight w:val="none"/>
        </w:rPr>
        <w:t>所有价格均用人民币表示，单位为元。</w:t>
      </w:r>
    </w:p>
    <w:p>
      <w:pPr>
        <w:pStyle w:val="38"/>
        <w:keepNext w:val="0"/>
        <w:keepLines w:val="0"/>
        <w:pageBreakBefore w:val="0"/>
        <w:widowControl w:val="0"/>
        <w:numPr>
          <w:ilvl w:val="0"/>
          <w:numId w:val="0"/>
        </w:numPr>
        <w:shd w:val="clear" w:color="auto" w:fill="auto"/>
        <w:tabs>
          <w:tab w:val="left" w:pos="378"/>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2.</w:t>
      </w:r>
      <w:r>
        <w:rPr>
          <w:rFonts w:hint="eastAsia" w:ascii="仿宋" w:hAnsi="仿宋" w:eastAsia="仿宋" w:cs="仿宋"/>
          <w:color w:val="auto"/>
          <w:spacing w:val="0"/>
          <w:w w:val="100"/>
          <w:position w:val="0"/>
          <w:sz w:val="24"/>
          <w:szCs w:val="24"/>
          <w:highlight w:val="none"/>
        </w:rPr>
        <w:t>报价总计价格必须与《</w:t>
      </w:r>
      <w:r>
        <w:rPr>
          <w:rFonts w:hint="eastAsia" w:ascii="仿宋" w:hAnsi="仿宋" w:eastAsia="仿宋" w:cs="仿宋"/>
          <w:color w:val="auto"/>
          <w:spacing w:val="0"/>
          <w:w w:val="100"/>
          <w:position w:val="0"/>
          <w:sz w:val="24"/>
          <w:szCs w:val="24"/>
          <w:highlight w:val="none"/>
          <w:lang w:eastAsia="zh-CN"/>
        </w:rPr>
        <w:t>投标报价单</w:t>
      </w:r>
      <w:r>
        <w:rPr>
          <w:rFonts w:hint="eastAsia" w:ascii="仿宋" w:hAnsi="仿宋" w:eastAsia="仿宋" w:cs="仿宋"/>
          <w:color w:val="auto"/>
          <w:spacing w:val="0"/>
          <w:w w:val="100"/>
          <w:position w:val="0"/>
          <w:sz w:val="24"/>
          <w:szCs w:val="24"/>
          <w:highlight w:val="none"/>
        </w:rPr>
        <w:t>》报价一致。</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val="en-US" w:eastAsia="zh-CN"/>
        </w:rPr>
        <w:t>3.</w:t>
      </w:r>
      <w:r>
        <w:rPr>
          <w:rFonts w:hint="eastAsia" w:ascii="仿宋" w:hAnsi="仿宋" w:eastAsia="仿宋" w:cs="仿宋"/>
          <w:color w:val="auto"/>
          <w:spacing w:val="0"/>
          <w:w w:val="100"/>
          <w:position w:val="0"/>
          <w:sz w:val="24"/>
          <w:szCs w:val="24"/>
          <w:highlight w:val="none"/>
        </w:rPr>
        <w:t>如果不提供详细的分项报价表将被视为没有实质性</w:t>
      </w:r>
      <w:r>
        <w:rPr>
          <w:rFonts w:hint="eastAsia" w:ascii="仿宋" w:hAnsi="仿宋" w:eastAsia="仿宋" w:cs="仿宋"/>
          <w:color w:val="auto"/>
          <w:spacing w:val="0"/>
          <w:w w:val="100"/>
          <w:position w:val="0"/>
          <w:sz w:val="24"/>
          <w:szCs w:val="24"/>
          <w:highlight w:val="none"/>
          <w:lang w:eastAsia="zh-CN"/>
        </w:rPr>
        <w:t>投标文件</w:t>
      </w:r>
      <w:r>
        <w:rPr>
          <w:rFonts w:hint="eastAsia" w:ascii="仿宋" w:hAnsi="仿宋" w:eastAsia="仿宋" w:cs="仿宋"/>
          <w:color w:val="auto"/>
          <w:spacing w:val="0"/>
          <w:w w:val="100"/>
          <w:position w:val="0"/>
          <w:sz w:val="24"/>
          <w:szCs w:val="24"/>
          <w:highlight w:val="none"/>
        </w:rPr>
        <w:t>。</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4.</w:t>
      </w:r>
      <w:r>
        <w:rPr>
          <w:rFonts w:hint="eastAsia" w:ascii="仿宋" w:hAnsi="仿宋" w:eastAsia="仿宋" w:cs="仿宋"/>
          <w:color w:val="auto"/>
          <w:spacing w:val="0"/>
          <w:w w:val="100"/>
          <w:position w:val="0"/>
          <w:sz w:val="24"/>
          <w:szCs w:val="24"/>
          <w:highlight w:val="none"/>
        </w:rPr>
        <w:t>投标人必须按此表格式中的对应栏目内容填写，若需增加栏目，请在栏目</w:t>
      </w:r>
      <w:r>
        <w:rPr>
          <w:rFonts w:hint="eastAsia" w:ascii="仿宋" w:hAnsi="仿宋" w:eastAsia="仿宋" w:cs="仿宋"/>
          <w:color w:val="auto"/>
          <w:spacing w:val="0"/>
          <w:w w:val="100"/>
          <w:position w:val="0"/>
          <w:sz w:val="24"/>
          <w:szCs w:val="24"/>
          <w:highlight w:val="none"/>
          <w:lang w:val="zh-CN" w:eastAsia="zh-CN" w:bidi="zh-CN"/>
        </w:rPr>
        <w:t>“其</w:t>
      </w:r>
      <w:r>
        <w:rPr>
          <w:rFonts w:hint="eastAsia" w:ascii="仿宋" w:hAnsi="仿宋" w:eastAsia="仿宋" w:cs="仿宋"/>
          <w:color w:val="auto"/>
          <w:spacing w:val="0"/>
          <w:w w:val="100"/>
          <w:position w:val="0"/>
          <w:sz w:val="24"/>
          <w:szCs w:val="24"/>
          <w:highlight w:val="none"/>
        </w:rPr>
        <w:t>它”中填写，并作详细说明。</w:t>
      </w:r>
    </w:p>
    <w:p>
      <w:pPr>
        <w:pStyle w:val="38"/>
        <w:keepNext w:val="0"/>
        <w:keepLines w:val="0"/>
        <w:pageBreakBefore w:val="0"/>
        <w:widowControl w:val="0"/>
        <w:numPr>
          <w:ilvl w:val="0"/>
          <w:numId w:val="0"/>
        </w:numPr>
        <w:shd w:val="clear" w:color="auto" w:fill="auto"/>
        <w:tabs>
          <w:tab w:val="left" w:pos="493"/>
        </w:tabs>
        <w:kinsoku/>
        <w:wordWrap/>
        <w:overflowPunct/>
        <w:topLinePunct w:val="0"/>
        <w:autoSpaceDE/>
        <w:autoSpaceDN/>
        <w:bidi w:val="0"/>
        <w:adjustRightInd/>
        <w:snapToGrid/>
        <w:spacing w:before="0" w:after="0" w:line="357" w:lineRule="exact"/>
        <w:ind w:left="176" w:leftChars="0" w:right="0" w:rightChars="0"/>
        <w:jc w:val="left"/>
        <w:textAlignment w:val="auto"/>
        <w:outlineLvl w:val="9"/>
        <w:rPr>
          <w:rFonts w:hint="eastAsia" w:ascii="仿宋" w:hAnsi="仿宋" w:eastAsia="仿宋" w:cs="仿宋"/>
          <w:color w:val="auto"/>
          <w:spacing w:val="0"/>
          <w:w w:val="100"/>
          <w:position w:val="0"/>
          <w:sz w:val="24"/>
          <w:szCs w:val="24"/>
          <w:highlight w:val="none"/>
        </w:rPr>
      </w:pPr>
    </w:p>
    <w:p>
      <w:pPr>
        <w:pStyle w:val="38"/>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outlineLvl w:val="9"/>
        <w:rPr>
          <w:rFonts w:hint="eastAsia" w:ascii="仿宋" w:hAnsi="仿宋" w:eastAsia="仿宋" w:cs="仿宋"/>
          <w:color w:val="auto"/>
          <w:spacing w:val="0"/>
          <w:w w:val="100"/>
          <w:position w:val="0"/>
          <w:sz w:val="20"/>
          <w:szCs w:val="20"/>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left="3928" w:leftChars="0" w:right="0" w:rightChars="0"/>
        <w:outlineLvl w:val="9"/>
        <w:rPr>
          <w:rFonts w:hint="eastAsia" w:ascii="仿宋" w:hAnsi="仿宋" w:eastAsia="仿宋" w:cs="仿宋"/>
          <w:b/>
          <w:bCs/>
          <w:color w:val="auto"/>
          <w:sz w:val="36"/>
          <w:szCs w:val="36"/>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27" w:name="_Toc14853"/>
      <w:bookmarkStart w:id="128" w:name="_Toc19895"/>
      <w:bookmarkStart w:id="129" w:name="_Toc21177"/>
      <w:bookmarkStart w:id="130" w:name="_Toc31583"/>
      <w:bookmarkStart w:id="131" w:name="_Toc5218"/>
      <w:bookmarkStart w:id="132" w:name="_Toc17126"/>
      <w:r>
        <w:rPr>
          <w:rFonts w:hint="eastAsia" w:ascii="仿宋" w:hAnsi="仿宋" w:eastAsia="仿宋" w:cs="仿宋"/>
          <w:b/>
          <w:bCs/>
          <w:color w:val="auto"/>
          <w:spacing w:val="0"/>
          <w:w w:val="100"/>
          <w:position w:val="0"/>
          <w:highlight w:val="none"/>
          <w:lang w:val="en-US" w:eastAsia="zh-CN"/>
        </w:rPr>
        <w:t>5、技术条款偏离表</w:t>
      </w:r>
      <w:bookmarkEnd w:id="127"/>
      <w:bookmarkEnd w:id="128"/>
      <w:bookmarkEnd w:id="129"/>
      <w:bookmarkEnd w:id="130"/>
      <w:bookmarkEnd w:id="131"/>
      <w:bookmarkEnd w:id="132"/>
    </w:p>
    <w:tbl>
      <w:tblPr>
        <w:tblStyle w:val="24"/>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135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货物名称</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招标文件条目号</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招标文件要求规格</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投标规格</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偏离</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如有正偏离需提供证明材料，证明材料附后(并注明页码)</w:t>
            </w: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bl>
    <w:p>
      <w:pPr>
        <w:spacing w:line="360" w:lineRule="auto"/>
        <w:ind w:firstLine="484" w:firstLineChars="198"/>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pStyle w:val="13"/>
        <w:tabs>
          <w:tab w:val="left" w:pos="5580"/>
        </w:tabs>
        <w:spacing w:line="360" w:lineRule="auto"/>
        <w:ind w:firstLine="3185" w:firstLineChars="1300"/>
        <w:outlineLvl w:val="9"/>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highlight w:val="none"/>
          <w:lang w:eastAsia="zh-CN"/>
        </w:rPr>
        <w:t>法定代表人或</w:t>
      </w:r>
      <w:r>
        <w:rPr>
          <w:rFonts w:hint="eastAsia" w:ascii="仿宋" w:hAnsi="仿宋" w:eastAsia="仿宋" w:cs="仿宋"/>
          <w:color w:val="auto"/>
          <w:kern w:val="0"/>
          <w:sz w:val="24"/>
          <w:szCs w:val="24"/>
          <w:highlight w:val="none"/>
        </w:rPr>
        <w:t>委托代理人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85" w:firstLineChars="13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color w:val="auto"/>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eastAsia="zh-CN"/>
        </w:rPr>
      </w:pPr>
      <w:r>
        <w:rPr>
          <w:rFonts w:hint="eastAsia" w:ascii="仿宋" w:hAnsi="仿宋" w:eastAsia="仿宋" w:cs="仿宋"/>
          <w:b/>
          <w:bCs/>
          <w:color w:val="auto"/>
          <w:spacing w:val="0"/>
          <w:w w:val="100"/>
          <w:position w:val="0"/>
          <w:sz w:val="36"/>
          <w:szCs w:val="36"/>
          <w:highlight w:val="none"/>
          <w:lang w:val="en-US" w:eastAsia="zh-CN"/>
        </w:rPr>
        <w:t>6</w:t>
      </w:r>
      <w:r>
        <w:rPr>
          <w:rFonts w:hint="eastAsia" w:ascii="仿宋" w:hAnsi="仿宋" w:eastAsia="仿宋" w:cs="仿宋"/>
          <w:b/>
          <w:bCs/>
          <w:color w:val="auto"/>
          <w:spacing w:val="0"/>
          <w:w w:val="100"/>
          <w:position w:val="0"/>
          <w:sz w:val="36"/>
          <w:szCs w:val="36"/>
          <w:highlight w:val="none"/>
        </w:rPr>
        <w:t>、</w:t>
      </w:r>
      <w:r>
        <w:rPr>
          <w:rFonts w:hint="eastAsia" w:ascii="仿宋" w:hAnsi="仿宋" w:eastAsia="仿宋" w:cs="仿宋"/>
          <w:b/>
          <w:bCs/>
          <w:color w:val="auto"/>
          <w:spacing w:val="0"/>
          <w:w w:val="100"/>
          <w:position w:val="0"/>
          <w:sz w:val="36"/>
          <w:szCs w:val="36"/>
          <w:highlight w:val="none"/>
          <w:lang w:eastAsia="zh-CN"/>
        </w:rPr>
        <w:t>商务条款偏离表</w:t>
      </w:r>
    </w:p>
    <w:tbl>
      <w:tblPr>
        <w:tblStyle w:val="24"/>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序号</w:t>
            </w:r>
          </w:p>
        </w:tc>
        <w:tc>
          <w:tcPr>
            <w:tcW w:w="21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6</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7</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8</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9</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10</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注：请在“偏离说明”栏内扼要说明偏离情况，如无偏离则不需列明。</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z w:val="24"/>
          <w:szCs w:val="24"/>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7、投标人基本情况表</w:t>
      </w:r>
    </w:p>
    <w:p>
      <w:pPr>
        <w:pStyle w:val="9"/>
        <w:numPr>
          <w:ilvl w:val="0"/>
          <w:numId w:val="0"/>
        </w:numPr>
        <w:kinsoku w:val="0"/>
        <w:overflowPunct w:val="0"/>
        <w:spacing w:before="5"/>
        <w:ind w:leftChars="0" w:right="0" w:rightChars="0"/>
        <w:outlineLvl w:val="9"/>
        <w:rPr>
          <w:rFonts w:hint="eastAsia" w:ascii="仿宋" w:hAnsi="仿宋" w:eastAsia="仿宋" w:cs="仿宋"/>
          <w:b/>
          <w:bCs/>
          <w:color w:val="auto"/>
          <w:sz w:val="6"/>
          <w:szCs w:val="6"/>
          <w:highlight w:val="none"/>
        </w:rPr>
      </w:pPr>
    </w:p>
    <w:tbl>
      <w:tblPr>
        <w:tblStyle w:val="24"/>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81"/>
              <w:outlineLvl w:val="9"/>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6"/>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1" w:line="312" w:lineRule="exact"/>
              <w:ind w:left="257" w:right="133" w:hanging="120"/>
              <w:outlineLvl w:val="9"/>
              <w:rPr>
                <w:rFonts w:hint="eastAsia" w:ascii="仿宋" w:hAnsi="仿宋" w:eastAsia="仿宋" w:cs="仿宋"/>
                <w:color w:val="auto"/>
                <w:highlight w:val="none"/>
              </w:rPr>
            </w:pPr>
            <w:r>
              <w:rPr>
                <w:rFonts w:hint="eastAsia" w:ascii="仿宋" w:hAnsi="仿宋" w:eastAsia="仿宋" w:cs="仿宋"/>
                <w:color w:val="auto"/>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66"/>
              <w:outlineLvl w:val="9"/>
              <w:rPr>
                <w:rFonts w:hint="eastAsia" w:ascii="仿宋" w:hAnsi="仿宋" w:eastAsia="仿宋" w:cs="仿宋"/>
                <w:color w:val="auto"/>
                <w:highlight w:val="none"/>
              </w:rPr>
            </w:pPr>
            <w:r>
              <w:rPr>
                <w:rFonts w:hint="eastAsia" w:ascii="仿宋" w:hAnsi="仿宋" w:eastAsia="仿宋" w:cs="仿宋"/>
                <w:color w:val="auto"/>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83"/>
              <w:outlineLvl w:val="9"/>
              <w:rPr>
                <w:rFonts w:hint="eastAsia" w:ascii="仿宋" w:hAnsi="仿宋" w:eastAsia="仿宋" w:cs="仿宋"/>
                <w:color w:val="auto"/>
                <w:highlight w:val="none"/>
              </w:rPr>
            </w:pPr>
            <w:r>
              <w:rPr>
                <w:rFonts w:hint="eastAsia" w:ascii="仿宋" w:hAnsi="仿宋" w:eastAsia="仿宋" w:cs="仿宋"/>
                <w:color w:val="auto"/>
                <w:highlight w:val="none"/>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spacing w:line="475"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236"/>
              <w:outlineLvl w:val="9"/>
              <w:rPr>
                <w:rFonts w:hint="eastAsia" w:ascii="仿宋" w:hAnsi="仿宋" w:eastAsia="仿宋" w:cs="仿宋"/>
                <w:color w:val="auto"/>
                <w:highlight w:val="none"/>
              </w:rPr>
            </w:pPr>
            <w:r>
              <w:rPr>
                <w:rFonts w:hint="eastAsia" w:ascii="仿宋" w:hAnsi="仿宋" w:eastAsia="仿宋" w:cs="仿宋"/>
                <w:color w:val="auto"/>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118"/>
              <w:outlineLvl w:val="9"/>
              <w:rPr>
                <w:rFonts w:hint="eastAsia" w:ascii="仿宋" w:hAnsi="仿宋" w:eastAsia="仿宋" w:cs="仿宋"/>
                <w:color w:val="auto"/>
                <w:highlight w:val="none"/>
              </w:rPr>
            </w:pPr>
            <w:r>
              <w:rPr>
                <w:rFonts w:hint="eastAsia" w:ascii="仿宋" w:hAnsi="仿宋" w:eastAsia="仿宋" w:cs="仿宋"/>
                <w:color w:val="auto"/>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单位行政和技术负责人</w:t>
            </w:r>
          </w:p>
        </w:tc>
      </w:tr>
      <w:tr>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16"/>
              <w:outlineLvl w:val="9"/>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2"/>
              <w:outlineLvl w:val="9"/>
              <w:rPr>
                <w:rFonts w:hint="eastAsia" w:ascii="仿宋" w:hAnsi="仿宋" w:eastAsia="仿宋" w:cs="仿宋"/>
                <w:color w:val="auto"/>
                <w:highlight w:val="none"/>
              </w:rPr>
            </w:pPr>
            <w:r>
              <w:rPr>
                <w:rFonts w:hint="eastAsia" w:ascii="仿宋" w:hAnsi="仿宋" w:eastAsia="仿宋" w:cs="仿宋"/>
                <w:color w:val="auto"/>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0"/>
              <w:outlineLvl w:val="9"/>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专</w:t>
            </w:r>
            <w:r>
              <w:rPr>
                <w:rFonts w:hint="eastAsia" w:ascii="仿宋" w:hAnsi="仿宋" w:eastAsia="仿宋" w:cs="仿宋"/>
                <w:color w:val="auto"/>
                <w:highlight w:val="none"/>
              </w:rPr>
              <w:tab/>
            </w:r>
            <w:r>
              <w:rPr>
                <w:rFonts w:hint="eastAsia" w:ascii="仿宋" w:hAnsi="仿宋" w:eastAsia="仿宋" w:cs="仿宋"/>
                <w:color w:val="auto"/>
                <w:highlight w:val="none"/>
              </w:rPr>
              <w:t>业</w:t>
            </w:r>
          </w:p>
        </w:tc>
      </w:tr>
      <w:tr>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
              <w:outlineLvl w:val="9"/>
              <w:rPr>
                <w:rFonts w:hint="eastAsia" w:ascii="仿宋" w:hAnsi="仿宋" w:eastAsia="仿宋" w:cs="仿宋"/>
                <w:b/>
                <w:bCs/>
                <w:color w:val="auto"/>
                <w:sz w:val="23"/>
                <w:szCs w:val="23"/>
                <w:highlight w:val="none"/>
              </w:rPr>
            </w:pPr>
          </w:p>
          <w:p>
            <w:pPr>
              <w:pStyle w:val="39"/>
              <w:kinsoku w:val="0"/>
              <w:overflowPunct w:val="0"/>
              <w:spacing w:line="237"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bl>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b/>
          <w:color w:val="auto"/>
          <w:sz w:val="30"/>
          <w:szCs w:val="30"/>
          <w:highlight w:val="none"/>
        </w:rPr>
      </w:pP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w w:val="90"/>
          <w:highlight w:val="none"/>
          <w:lang w:eastAsia="zh-CN"/>
        </w:rPr>
      </w:pPr>
      <w:r>
        <w:rPr>
          <w:rFonts w:hint="eastAsia" w:ascii="仿宋" w:hAnsi="仿宋" w:eastAsia="仿宋" w:cs="仿宋"/>
          <w:b w:val="0"/>
          <w:bCs/>
          <w:color w:val="auto"/>
          <w:kern w:val="0"/>
          <w:sz w:val="36"/>
          <w:szCs w:val="36"/>
          <w:highlight w:val="none"/>
          <w:lang w:val="en-US" w:eastAsia="zh-CN"/>
        </w:rPr>
        <w:t>8、</w:t>
      </w:r>
      <w:r>
        <w:rPr>
          <w:rFonts w:hint="eastAsia" w:ascii="仿宋" w:hAnsi="仿宋" w:eastAsia="仿宋" w:cs="仿宋"/>
          <w:b/>
          <w:bCs/>
          <w:color w:val="auto"/>
          <w:w w:val="90"/>
          <w:sz w:val="36"/>
          <w:szCs w:val="36"/>
          <w:highlight w:val="none"/>
        </w:rPr>
        <w:t>近三年（20</w:t>
      </w:r>
      <w:r>
        <w:rPr>
          <w:rFonts w:hint="eastAsia" w:ascii="仿宋" w:hAnsi="仿宋" w:eastAsia="仿宋" w:cs="仿宋"/>
          <w:b/>
          <w:bCs/>
          <w:color w:val="auto"/>
          <w:w w:val="90"/>
          <w:sz w:val="36"/>
          <w:szCs w:val="36"/>
          <w:highlight w:val="none"/>
          <w:lang w:val="en-US" w:eastAsia="zh-CN"/>
        </w:rPr>
        <w:t>19</w:t>
      </w:r>
      <w:r>
        <w:rPr>
          <w:rFonts w:hint="eastAsia" w:ascii="仿宋" w:hAnsi="仿宋" w:eastAsia="仿宋" w:cs="仿宋"/>
          <w:b/>
          <w:bCs/>
          <w:color w:val="auto"/>
          <w:w w:val="90"/>
          <w:sz w:val="36"/>
          <w:szCs w:val="36"/>
          <w:highlight w:val="none"/>
        </w:rPr>
        <w:t>年1月1日至今）类似项目业绩</w:t>
      </w:r>
      <w:r>
        <w:rPr>
          <w:rFonts w:hint="eastAsia" w:ascii="仿宋" w:hAnsi="仿宋" w:eastAsia="仿宋" w:cs="仿宋"/>
          <w:b/>
          <w:bCs/>
          <w:color w:val="auto"/>
          <w:w w:val="90"/>
          <w:sz w:val="36"/>
          <w:szCs w:val="36"/>
          <w:highlight w:val="none"/>
          <w:lang w:eastAsia="zh-CN"/>
        </w:rPr>
        <w:t>表</w:t>
      </w:r>
    </w:p>
    <w:p>
      <w:pPr>
        <w:pStyle w:val="9"/>
        <w:numPr>
          <w:ilvl w:val="0"/>
          <w:numId w:val="0"/>
        </w:numPr>
        <w:kinsoku w:val="0"/>
        <w:overflowPunct w:val="0"/>
        <w:ind w:leftChars="0" w:right="0" w:rightChars="0"/>
        <w:outlineLvl w:val="9"/>
        <w:rPr>
          <w:rFonts w:hint="eastAsia" w:ascii="仿宋" w:hAnsi="仿宋" w:eastAsia="仿宋" w:cs="仿宋"/>
          <w:b/>
          <w:bCs/>
          <w:color w:val="auto"/>
          <w:sz w:val="20"/>
          <w:szCs w:val="20"/>
          <w:highlight w:val="none"/>
        </w:rPr>
      </w:pPr>
    </w:p>
    <w:tbl>
      <w:tblPr>
        <w:tblStyle w:val="24"/>
        <w:tblW w:w="9115" w:type="dxa"/>
        <w:jc w:val="center"/>
        <w:shd w:val="clear" w:color="auto" w:fill="auto"/>
        <w:tblLayout w:type="fixed"/>
        <w:tblCellMar>
          <w:top w:w="0" w:type="dxa"/>
          <w:left w:w="10" w:type="dxa"/>
          <w:bottom w:w="0" w:type="dxa"/>
          <w:right w:w="10" w:type="dxa"/>
        </w:tblCellMar>
      </w:tblPr>
      <w:tblGrid>
        <w:gridCol w:w="1919"/>
        <w:gridCol w:w="7196"/>
      </w:tblGrid>
      <w:tr>
        <w:tblPrEx>
          <w:shd w:val="clear" w:color="auto" w:fill="auto"/>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20"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项目单位联系姓名及联系方式</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合同金额</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06"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项目负责人姓名</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项目实施时间</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注：每个</w:t>
      </w:r>
      <w:r>
        <w:rPr>
          <w:rFonts w:hint="eastAsia" w:ascii="仿宋" w:hAnsi="仿宋" w:eastAsia="仿宋" w:cs="仿宋"/>
          <w:color w:val="auto"/>
          <w:spacing w:val="-1"/>
          <w:kern w:val="0"/>
          <w:sz w:val="24"/>
          <w:highlight w:val="none"/>
          <w:lang w:eastAsia="zh-CN"/>
        </w:rPr>
        <w:t>业绩</w:t>
      </w:r>
      <w:r>
        <w:rPr>
          <w:rFonts w:hint="eastAsia" w:ascii="仿宋" w:hAnsi="仿宋" w:eastAsia="仿宋" w:cs="仿宋"/>
          <w:color w:val="auto"/>
          <w:spacing w:val="-1"/>
          <w:kern w:val="0"/>
          <w:sz w:val="24"/>
          <w:highlight w:val="none"/>
        </w:rPr>
        <w:t>须单独附表，并附上</w:t>
      </w:r>
      <w:r>
        <w:rPr>
          <w:rFonts w:hint="eastAsia" w:ascii="仿宋" w:hAnsi="仿宋" w:eastAsia="仿宋" w:cs="仿宋"/>
          <w:color w:val="auto"/>
          <w:spacing w:val="-1"/>
          <w:kern w:val="0"/>
          <w:sz w:val="24"/>
          <w:highlight w:val="none"/>
          <w:lang w:eastAsia="zh-CN"/>
        </w:rPr>
        <w:t>合同和中标通知书</w:t>
      </w:r>
      <w:r>
        <w:rPr>
          <w:rFonts w:hint="eastAsia" w:ascii="仿宋" w:hAnsi="仿宋" w:eastAsia="仿宋" w:cs="仿宋"/>
          <w:color w:val="auto"/>
          <w:spacing w:val="-1"/>
          <w:kern w:val="0"/>
          <w:sz w:val="24"/>
          <w:highlight w:val="none"/>
        </w:rPr>
        <w:t>相关证明材料，否则专家在评审时将不予采信。</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right="0" w:rightChars="0" w:firstLine="4410" w:firstLineChars="18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580" w:line="240" w:lineRule="auto"/>
        <w:ind w:left="0" w:right="0" w:firstLine="360"/>
        <w:jc w:val="left"/>
        <w:outlineLvl w:val="9"/>
        <w:rPr>
          <w:rFonts w:hint="eastAsia" w:ascii="仿宋" w:hAnsi="仿宋" w:eastAsia="仿宋" w:cs="仿宋"/>
          <w:color w:val="auto"/>
          <w:spacing w:val="0"/>
          <w:w w:val="100"/>
          <w:position w:val="0"/>
          <w:highlight w:val="none"/>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bCs w:val="0"/>
          <w:color w:val="auto"/>
          <w:kern w:val="0"/>
          <w:sz w:val="36"/>
          <w:szCs w:val="36"/>
          <w:highlight w:val="none"/>
        </w:rPr>
      </w:pPr>
      <w:r>
        <w:rPr>
          <w:rFonts w:hint="eastAsia" w:ascii="仿宋" w:hAnsi="仿宋" w:eastAsia="仿宋" w:cs="仿宋"/>
          <w:b/>
          <w:bCs w:val="0"/>
          <w:color w:val="auto"/>
          <w:kern w:val="0"/>
          <w:sz w:val="36"/>
          <w:szCs w:val="36"/>
          <w:highlight w:val="none"/>
          <w:lang w:val="en-US" w:eastAsia="zh-CN"/>
        </w:rPr>
        <w:t>9</w:t>
      </w:r>
      <w:r>
        <w:rPr>
          <w:rFonts w:hint="eastAsia" w:ascii="仿宋" w:hAnsi="仿宋" w:eastAsia="仿宋" w:cs="仿宋"/>
          <w:b/>
          <w:bCs w:val="0"/>
          <w:color w:val="auto"/>
          <w:kern w:val="0"/>
          <w:sz w:val="36"/>
          <w:szCs w:val="36"/>
          <w:highlight w:val="none"/>
        </w:rPr>
        <w:t>、中小企业声明函(</w:t>
      </w:r>
      <w:r>
        <w:rPr>
          <w:rFonts w:hint="eastAsia" w:ascii="仿宋" w:hAnsi="仿宋" w:eastAsia="仿宋" w:cs="仿宋"/>
          <w:b/>
          <w:bCs w:val="0"/>
          <w:color w:val="auto"/>
          <w:kern w:val="0"/>
          <w:sz w:val="36"/>
          <w:szCs w:val="36"/>
          <w:highlight w:val="none"/>
          <w:lang w:eastAsia="zh-CN"/>
        </w:rPr>
        <w:t>货物</w:t>
      </w:r>
      <w:r>
        <w:rPr>
          <w:rFonts w:hint="eastAsia" w:ascii="仿宋" w:hAnsi="仿宋" w:eastAsia="仿宋" w:cs="仿宋"/>
          <w:b/>
          <w:bCs w:val="0"/>
          <w:color w:val="auto"/>
          <w:kern w:val="0"/>
          <w:sz w:val="36"/>
          <w:szCs w:val="36"/>
          <w:highlight w:val="none"/>
        </w:rPr>
        <w:t>)</w:t>
      </w:r>
    </w:p>
    <w:p>
      <w:pPr>
        <w:ind w:left="1280"/>
        <w:outlineLvl w:val="9"/>
        <w:rPr>
          <w:rFonts w:hint="eastAsia" w:ascii="仿宋" w:hAnsi="仿宋" w:eastAsia="仿宋" w:cs="仿宋"/>
          <w:color w:val="auto"/>
          <w:sz w:val="32"/>
          <w:szCs w:val="32"/>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以上企业，不属于大企业的分支机构，不存在控股股东为大企业的情形，也不存在与大企业的负责人为同一人的情形。</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本企业对上述声明内容的真实性负责。如有虚假，将依法承担相应责任。</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655" w:firstLineChars="19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企业名称（盖章）：</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日期：</w:t>
      </w: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p>
    <w:p>
      <w:pPr>
        <w:tabs>
          <w:tab w:val="left" w:pos="3600"/>
        </w:tabs>
        <w:adjustRightInd w:val="0"/>
        <w:snapToGrid w:val="0"/>
        <w:spacing w:line="440" w:lineRule="exact"/>
        <w:jc w:val="center"/>
        <w:outlineLvl w:val="9"/>
        <w:rPr>
          <w:rFonts w:hint="eastAsia" w:ascii="仿宋" w:hAnsi="仿宋" w:eastAsia="仿宋" w:cs="仿宋"/>
          <w:b/>
          <w:bCs/>
          <w:color w:val="auto"/>
          <w:spacing w:val="6"/>
          <w:kern w:val="0"/>
          <w:sz w:val="36"/>
          <w:szCs w:val="36"/>
          <w:highlight w:val="none"/>
        </w:rPr>
      </w:pPr>
      <w:r>
        <w:rPr>
          <w:rFonts w:hint="eastAsia" w:ascii="仿宋" w:hAnsi="仿宋" w:eastAsia="仿宋" w:cs="仿宋"/>
          <w:color w:val="auto"/>
          <w:spacing w:val="0"/>
          <w:w w:val="100"/>
          <w:position w:val="0"/>
          <w:sz w:val="36"/>
          <w:szCs w:val="36"/>
          <w:highlight w:val="none"/>
          <w:lang w:val="en-US" w:eastAsia="zh-CN"/>
        </w:rPr>
        <w:t>10</w:t>
      </w:r>
      <w:r>
        <w:rPr>
          <w:rFonts w:hint="eastAsia" w:ascii="仿宋" w:hAnsi="仿宋" w:eastAsia="仿宋" w:cs="仿宋"/>
          <w:color w:val="auto"/>
          <w:spacing w:val="0"/>
          <w:w w:val="100"/>
          <w:position w:val="0"/>
          <w:sz w:val="36"/>
          <w:szCs w:val="36"/>
          <w:highlight w:val="none"/>
          <w:lang w:eastAsia="zh-CN"/>
        </w:rPr>
        <w:t>、</w:t>
      </w:r>
      <w:r>
        <w:rPr>
          <w:rFonts w:hint="eastAsia" w:ascii="仿宋" w:hAnsi="仿宋" w:eastAsia="仿宋" w:cs="仿宋"/>
          <w:b/>
          <w:bCs/>
          <w:color w:val="auto"/>
          <w:spacing w:val="6"/>
          <w:kern w:val="0"/>
          <w:sz w:val="36"/>
          <w:szCs w:val="36"/>
          <w:highlight w:val="none"/>
        </w:rPr>
        <w:t>残疾人福利性单位声明函</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本单位对上述声明的真实性负责。如有虚假，将依法承担相应责任。</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w:t>
      </w:r>
    </w:p>
    <w:p>
      <w:pPr>
        <w:widowControl/>
        <w:adjustRightInd w:val="0"/>
        <w:snapToGrid w:val="0"/>
        <w:spacing w:line="440" w:lineRule="exact"/>
        <w:ind w:firstLine="5654" w:firstLineChars="2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单位名称（盖章）：</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日  期：</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br w:type="page"/>
      </w:r>
    </w:p>
    <w:p>
      <w:pPr>
        <w:pStyle w:val="9"/>
        <w:rPr>
          <w:rFonts w:hint="eastAsia"/>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11、评分标准和细则中技术部分证明材料（格式自拟</w:t>
      </w:r>
      <w:r>
        <w:rPr>
          <w:rFonts w:hint="eastAsia" w:ascii="仿宋" w:hAnsi="仿宋" w:eastAsia="仿宋" w:cs="仿宋"/>
          <w:color w:val="auto"/>
          <w:spacing w:val="0"/>
          <w:w w:val="100"/>
          <w:position w:val="0"/>
          <w:sz w:val="36"/>
          <w:szCs w:val="36"/>
          <w:highlight w:val="none"/>
          <w:lang w:val="en-US" w:eastAsia="zh-CN"/>
        </w:rPr>
        <w:t>）</w:t>
      </w: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（主要包括：技术部分技术指标、参数响应情况；）</w:t>
      </w:r>
      <w:r>
        <w:rPr>
          <w:rFonts w:hint="eastAsia" w:ascii="仿宋" w:hAnsi="仿宋" w:eastAsia="仿宋" w:cs="仿宋"/>
          <w:color w:val="auto"/>
          <w:sz w:val="24"/>
          <w:highlight w:val="none"/>
        </w:rPr>
        <w:t>。</w:t>
      </w: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ageBreakBefore w:val="0"/>
        <w:widowControl w:val="0"/>
        <w:shd w:val="clear" w:color="auto" w:fill="auto"/>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12、评分标准和细则中商务部分证明材料（格式自拟）</w:t>
      </w:r>
    </w:p>
    <w:p>
      <w:pPr>
        <w:pStyle w:val="13"/>
        <w:shd w:val="clear" w:color="auto" w:fill="auto"/>
        <w:tabs>
          <w:tab w:val="left" w:pos="5580"/>
        </w:tabs>
        <w:spacing w:line="240" w:lineRule="atLeast"/>
        <w:outlineLvl w:val="9"/>
        <w:rPr>
          <w:rFonts w:hint="eastAsia" w:ascii="仿宋" w:hAnsi="仿宋" w:eastAsia="仿宋" w:cs="仿宋"/>
          <w:color w:val="auto"/>
          <w:sz w:val="24"/>
          <w:highlight w:val="none"/>
        </w:rPr>
      </w:pP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类似业绩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售后服务</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w:t>
      </w: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keepNext w:val="0"/>
        <w:keepLines w:val="0"/>
        <w:pageBreakBefore w:val="0"/>
        <w:widowControl w:val="0"/>
        <w:numPr>
          <w:ilvl w:val="1"/>
          <w:numId w:val="0"/>
        </w:numPr>
        <w:shd w:val="clear" w:color="auto" w:fill="auto"/>
        <w:tabs>
          <w:tab w:val="left" w:pos="540"/>
        </w:tabs>
        <w:kinsoku/>
        <w:wordWrap/>
        <w:overflowPunct/>
        <w:topLinePunct w:val="0"/>
        <w:autoSpaceDE/>
        <w:autoSpaceDN/>
        <w:bidi w:val="0"/>
        <w:spacing w:before="0" w:line="360" w:lineRule="auto"/>
        <w:jc w:val="left"/>
        <w:textAlignment w:val="auto"/>
        <w:outlineLvl w:val="9"/>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9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13、</w:t>
      </w:r>
      <w:r>
        <w:rPr>
          <w:rFonts w:hint="eastAsia" w:ascii="仿宋" w:hAnsi="仿宋" w:eastAsia="仿宋" w:cs="仿宋"/>
          <w:b/>
          <w:bCs/>
          <w:color w:val="auto"/>
          <w:spacing w:val="0"/>
          <w:w w:val="90"/>
          <w:position w:val="0"/>
          <w:sz w:val="36"/>
          <w:szCs w:val="36"/>
          <w:highlight w:val="none"/>
          <w:lang w:val="en-US" w:eastAsia="zh-CN"/>
        </w:rPr>
        <w:t>投标人认为有必要提供的其他证明材料（格式自拟）</w:t>
      </w: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4"/>
        <w:outlineLvl w:val="9"/>
        <w:rPr>
          <w:rFonts w:hint="eastAsia"/>
          <w:color w:val="auto"/>
          <w:highlight w:val="none"/>
        </w:rPr>
      </w:pPr>
    </w:p>
    <w:sectPr>
      <w:headerReference r:id="rId12" w:type="default"/>
      <w:footerReference r:id="rId13" w:type="default"/>
      <w:pgSz w:w="11905" w:h="16838"/>
      <w:pgMar w:top="1440" w:right="1417" w:bottom="1440" w:left="1417" w:header="850" w:footer="992" w:gutter="0"/>
      <w:pgNumType w:fmt="decimal"/>
      <w:cols w:space="0" w:num="1"/>
      <w:rtlGutter w:val="0"/>
      <w:docGrid w:type="linesAndChars" w:linePitch="335" w:charSpace="10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40"/>
        <w:szCs w:val="56"/>
      </w:rPr>
    </w:pPr>
    <w:r>
      <w:rPr>
        <w:rFonts w:hint="eastAsia" w:ascii="仿宋" w:hAnsi="仿宋" w:eastAsia="仿宋" w:cs="仿宋"/>
        <w:sz w:val="24"/>
        <w:szCs w:val="4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5"/>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5"/>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MV+MkBAACb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xX4yQEAAJsDAAAOAAAAAAAAAAEAIAAAAB4BAABkcnMvZTJvRG9j&#10;LnhtbFBLBQYAAAAABgAGAFkBAABZBQ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5"/>
      <w:ind w:right="360"/>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293B7"/>
    <w:multiLevelType w:val="singleLevel"/>
    <w:tmpl w:val="FAF293B7"/>
    <w:lvl w:ilvl="0" w:tentative="0">
      <w:start w:val="1"/>
      <w:numFmt w:val="decimal"/>
      <w:suff w:val="nothing"/>
      <w:lvlText w:val="%1、"/>
      <w:lvlJc w:val="left"/>
    </w:lvl>
  </w:abstractNum>
  <w:abstractNum w:abstractNumId="1">
    <w:nsid w:val="FB2EA784"/>
    <w:multiLevelType w:val="singleLevel"/>
    <w:tmpl w:val="FB2EA784"/>
    <w:lvl w:ilvl="0" w:tentative="0">
      <w:start w:val="4"/>
      <w:numFmt w:val="chineseCounting"/>
      <w:suff w:val="space"/>
      <w:lvlText w:val="第%1部分"/>
      <w:lvlJc w:val="left"/>
      <w:rPr>
        <w:rFonts w:hint="eastAsia"/>
      </w:rPr>
    </w:lvl>
  </w:abstractNum>
  <w:abstractNum w:abstractNumId="2">
    <w:nsid w:val="0000000D"/>
    <w:multiLevelType w:val="multilevel"/>
    <w:tmpl w:val="0000000D"/>
    <w:lvl w:ilvl="0" w:tentative="0">
      <w:start w:val="1"/>
      <w:numFmt w:val="decimal"/>
      <w:pStyle w:val="9"/>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3">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4">
    <w:nsid w:val="1261CF4B"/>
    <w:multiLevelType w:val="singleLevel"/>
    <w:tmpl w:val="1261CF4B"/>
    <w:lvl w:ilvl="0" w:tentative="0">
      <w:start w:val="1"/>
      <w:numFmt w:val="decimal"/>
      <w:suff w:val="nothing"/>
      <w:lvlText w:val="%1、"/>
      <w:lvlJc w:val="left"/>
    </w:lvl>
  </w:abstractNum>
  <w:abstractNum w:abstractNumId="5">
    <w:nsid w:val="3105F6B5"/>
    <w:multiLevelType w:val="singleLevel"/>
    <w:tmpl w:val="3105F6B5"/>
    <w:lvl w:ilvl="0" w:tentative="0">
      <w:start w:val="1"/>
      <w:numFmt w:val="decimal"/>
      <w:suff w:val="nothing"/>
      <w:lvlText w:val="%1、"/>
      <w:lvlJc w:val="left"/>
      <w:pPr>
        <w:ind w:left="320" w:leftChars="0" w:firstLine="0" w:firstLineChars="0"/>
      </w:pPr>
    </w:lvl>
  </w:abstractNum>
  <w:abstractNum w:abstractNumId="6">
    <w:nsid w:val="4993F1B5"/>
    <w:multiLevelType w:val="singleLevel"/>
    <w:tmpl w:val="4993F1B5"/>
    <w:lvl w:ilvl="0" w:tentative="0">
      <w:start w:val="1"/>
      <w:numFmt w:val="decimal"/>
      <w:lvlText w:val="%1."/>
      <w:lvlJc w:val="left"/>
      <w:pPr>
        <w:tabs>
          <w:tab w:val="left" w:pos="312"/>
        </w:tabs>
        <w:ind w:left="420" w:leftChars="0" w:firstLine="0" w:firstLineChars="0"/>
      </w:p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2"/>
  </w:num>
  <w:num w:numId="2">
    <w:abstractNumId w:val="0"/>
  </w:num>
  <w:num w:numId="3">
    <w:abstractNumId w:val="5"/>
  </w:num>
  <w:num w:numId="4">
    <w:abstractNumId w:val="7"/>
  </w:num>
  <w:num w:numId="5">
    <w:abstractNumId w:val="3"/>
  </w:num>
  <w:num w:numId="6">
    <w:abstractNumId w:val="8"/>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HorizontalSpacing w:val="123"/>
  <w:drawingGridVerticalSpacing w:val="168"/>
  <w:displayHorizontalDrawingGridEvery w:val="2"/>
  <w:displayVerticalDrawingGridEvery w:val="2"/>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MDQxMTZlZGQyMGI1NzY0NmI5MTVkYTBiMTEwZjgifQ=="/>
  </w:docVars>
  <w:rsids>
    <w:rsidRoot w:val="430832B2"/>
    <w:rsid w:val="00036274"/>
    <w:rsid w:val="001C66E0"/>
    <w:rsid w:val="00271C3B"/>
    <w:rsid w:val="00472A86"/>
    <w:rsid w:val="00DF3300"/>
    <w:rsid w:val="0123584C"/>
    <w:rsid w:val="01387A0A"/>
    <w:rsid w:val="015E08CF"/>
    <w:rsid w:val="01AE0A67"/>
    <w:rsid w:val="01E44B68"/>
    <w:rsid w:val="023C35FE"/>
    <w:rsid w:val="025D7EBF"/>
    <w:rsid w:val="03120DC1"/>
    <w:rsid w:val="038329E4"/>
    <w:rsid w:val="04197466"/>
    <w:rsid w:val="042A106A"/>
    <w:rsid w:val="04DF1D99"/>
    <w:rsid w:val="04F35535"/>
    <w:rsid w:val="0537707A"/>
    <w:rsid w:val="058D14E6"/>
    <w:rsid w:val="05CE725F"/>
    <w:rsid w:val="05E31007"/>
    <w:rsid w:val="05F91143"/>
    <w:rsid w:val="06141E47"/>
    <w:rsid w:val="063B7194"/>
    <w:rsid w:val="074D53D1"/>
    <w:rsid w:val="08323FEC"/>
    <w:rsid w:val="085D5AE7"/>
    <w:rsid w:val="091D420B"/>
    <w:rsid w:val="09231976"/>
    <w:rsid w:val="093F2ABC"/>
    <w:rsid w:val="099C0E75"/>
    <w:rsid w:val="0A982D0F"/>
    <w:rsid w:val="0AD77765"/>
    <w:rsid w:val="0AEC1713"/>
    <w:rsid w:val="0AEC1935"/>
    <w:rsid w:val="0B213EE8"/>
    <w:rsid w:val="0B2F3756"/>
    <w:rsid w:val="0B680A2B"/>
    <w:rsid w:val="0B84310F"/>
    <w:rsid w:val="0B9E39F1"/>
    <w:rsid w:val="0BF26C44"/>
    <w:rsid w:val="0C5B4F8E"/>
    <w:rsid w:val="0CDD46C2"/>
    <w:rsid w:val="0D2B33CB"/>
    <w:rsid w:val="0DE97ED5"/>
    <w:rsid w:val="0E782F04"/>
    <w:rsid w:val="0F5301E8"/>
    <w:rsid w:val="0F9E7F65"/>
    <w:rsid w:val="10685029"/>
    <w:rsid w:val="10751E04"/>
    <w:rsid w:val="107847B5"/>
    <w:rsid w:val="110E25D3"/>
    <w:rsid w:val="11A227BD"/>
    <w:rsid w:val="11BC2427"/>
    <w:rsid w:val="130308CA"/>
    <w:rsid w:val="135B3A09"/>
    <w:rsid w:val="13725EDE"/>
    <w:rsid w:val="13F25F1E"/>
    <w:rsid w:val="14333C53"/>
    <w:rsid w:val="147F77B9"/>
    <w:rsid w:val="15164F4C"/>
    <w:rsid w:val="1525173B"/>
    <w:rsid w:val="153C6A85"/>
    <w:rsid w:val="15AE1060"/>
    <w:rsid w:val="15E839EB"/>
    <w:rsid w:val="160A2911"/>
    <w:rsid w:val="167B61DA"/>
    <w:rsid w:val="169D7529"/>
    <w:rsid w:val="170A0FC7"/>
    <w:rsid w:val="171F0B4E"/>
    <w:rsid w:val="17451C21"/>
    <w:rsid w:val="17C65001"/>
    <w:rsid w:val="17EB3771"/>
    <w:rsid w:val="182C2DE0"/>
    <w:rsid w:val="18333FC9"/>
    <w:rsid w:val="184B14B9"/>
    <w:rsid w:val="18FE29CF"/>
    <w:rsid w:val="1910625E"/>
    <w:rsid w:val="19791440"/>
    <w:rsid w:val="198D3D53"/>
    <w:rsid w:val="19F6321A"/>
    <w:rsid w:val="1A3C3B56"/>
    <w:rsid w:val="1AA14F3E"/>
    <w:rsid w:val="1AED2CFB"/>
    <w:rsid w:val="1AFA15B8"/>
    <w:rsid w:val="1BA86B96"/>
    <w:rsid w:val="1BD6471C"/>
    <w:rsid w:val="1BE65325"/>
    <w:rsid w:val="1E6813A9"/>
    <w:rsid w:val="1E91363A"/>
    <w:rsid w:val="1ECE4F82"/>
    <w:rsid w:val="1EE5064C"/>
    <w:rsid w:val="1F232690"/>
    <w:rsid w:val="1F5B26D6"/>
    <w:rsid w:val="1F6007D8"/>
    <w:rsid w:val="1FBF7012"/>
    <w:rsid w:val="206F41B2"/>
    <w:rsid w:val="2080160F"/>
    <w:rsid w:val="212A6FB2"/>
    <w:rsid w:val="22965E6B"/>
    <w:rsid w:val="22A01578"/>
    <w:rsid w:val="22F917C9"/>
    <w:rsid w:val="23874BA3"/>
    <w:rsid w:val="23D36B86"/>
    <w:rsid w:val="24AA355B"/>
    <w:rsid w:val="24D80E4E"/>
    <w:rsid w:val="25002F8D"/>
    <w:rsid w:val="250F1BE1"/>
    <w:rsid w:val="251B598A"/>
    <w:rsid w:val="25546BA5"/>
    <w:rsid w:val="25550156"/>
    <w:rsid w:val="25777D91"/>
    <w:rsid w:val="260D7B4D"/>
    <w:rsid w:val="267D2FA7"/>
    <w:rsid w:val="26D37563"/>
    <w:rsid w:val="26E45926"/>
    <w:rsid w:val="27161DF2"/>
    <w:rsid w:val="27D72414"/>
    <w:rsid w:val="283D072F"/>
    <w:rsid w:val="28527753"/>
    <w:rsid w:val="285C7E68"/>
    <w:rsid w:val="286B44D3"/>
    <w:rsid w:val="28CE180E"/>
    <w:rsid w:val="291C049E"/>
    <w:rsid w:val="299F2BD7"/>
    <w:rsid w:val="29DC7303"/>
    <w:rsid w:val="2A2953D2"/>
    <w:rsid w:val="2A403E4C"/>
    <w:rsid w:val="2A470C7F"/>
    <w:rsid w:val="2A6F2C28"/>
    <w:rsid w:val="2AB303AA"/>
    <w:rsid w:val="2AF552B4"/>
    <w:rsid w:val="2B7102E5"/>
    <w:rsid w:val="2B762634"/>
    <w:rsid w:val="2C047AD0"/>
    <w:rsid w:val="2C4C731E"/>
    <w:rsid w:val="2C7C4FC9"/>
    <w:rsid w:val="2D1B0C53"/>
    <w:rsid w:val="2DF06B27"/>
    <w:rsid w:val="2DF1140A"/>
    <w:rsid w:val="2E1B0C2F"/>
    <w:rsid w:val="2E2D151C"/>
    <w:rsid w:val="2E764B34"/>
    <w:rsid w:val="2E9D1F9E"/>
    <w:rsid w:val="2FA21DFE"/>
    <w:rsid w:val="2FA50B1C"/>
    <w:rsid w:val="305F7D9F"/>
    <w:rsid w:val="30CE30FC"/>
    <w:rsid w:val="31146331"/>
    <w:rsid w:val="31286C3D"/>
    <w:rsid w:val="31753DD8"/>
    <w:rsid w:val="31C54436"/>
    <w:rsid w:val="335C76C1"/>
    <w:rsid w:val="33974E7C"/>
    <w:rsid w:val="34325BDF"/>
    <w:rsid w:val="3464452F"/>
    <w:rsid w:val="34AC63E7"/>
    <w:rsid w:val="35427B0F"/>
    <w:rsid w:val="355166BF"/>
    <w:rsid w:val="35815D61"/>
    <w:rsid w:val="35C66178"/>
    <w:rsid w:val="36AA5E0A"/>
    <w:rsid w:val="36E42A50"/>
    <w:rsid w:val="379F4F25"/>
    <w:rsid w:val="37D44BCF"/>
    <w:rsid w:val="38083993"/>
    <w:rsid w:val="386C0CA7"/>
    <w:rsid w:val="3891387E"/>
    <w:rsid w:val="38C56C0D"/>
    <w:rsid w:val="39C72577"/>
    <w:rsid w:val="3A1273C6"/>
    <w:rsid w:val="3A283A12"/>
    <w:rsid w:val="3AE06945"/>
    <w:rsid w:val="3BC55DD4"/>
    <w:rsid w:val="3BFA097C"/>
    <w:rsid w:val="3C044892"/>
    <w:rsid w:val="3C415AEE"/>
    <w:rsid w:val="3CA827C1"/>
    <w:rsid w:val="3CAD59EE"/>
    <w:rsid w:val="3D681E63"/>
    <w:rsid w:val="3D751F42"/>
    <w:rsid w:val="3E0E1F27"/>
    <w:rsid w:val="3E983751"/>
    <w:rsid w:val="3ED26025"/>
    <w:rsid w:val="3FA7735D"/>
    <w:rsid w:val="408E72C3"/>
    <w:rsid w:val="408E7BCF"/>
    <w:rsid w:val="40B26236"/>
    <w:rsid w:val="41047E71"/>
    <w:rsid w:val="413A315B"/>
    <w:rsid w:val="41523CEF"/>
    <w:rsid w:val="41597EF3"/>
    <w:rsid w:val="41681350"/>
    <w:rsid w:val="416F668A"/>
    <w:rsid w:val="419F6662"/>
    <w:rsid w:val="41A72D03"/>
    <w:rsid w:val="41BC55E0"/>
    <w:rsid w:val="41CC18D7"/>
    <w:rsid w:val="420B7389"/>
    <w:rsid w:val="42297C51"/>
    <w:rsid w:val="423544BC"/>
    <w:rsid w:val="423563C7"/>
    <w:rsid w:val="42A122A4"/>
    <w:rsid w:val="42C57370"/>
    <w:rsid w:val="430832B2"/>
    <w:rsid w:val="435B2B0B"/>
    <w:rsid w:val="445769C9"/>
    <w:rsid w:val="44740DA7"/>
    <w:rsid w:val="44951B21"/>
    <w:rsid w:val="4501031B"/>
    <w:rsid w:val="454815E5"/>
    <w:rsid w:val="45712B3F"/>
    <w:rsid w:val="457C2033"/>
    <w:rsid w:val="46A95479"/>
    <w:rsid w:val="46F77B89"/>
    <w:rsid w:val="4706296E"/>
    <w:rsid w:val="4743767B"/>
    <w:rsid w:val="4834354A"/>
    <w:rsid w:val="490F2667"/>
    <w:rsid w:val="49726A4B"/>
    <w:rsid w:val="4A0D2D7D"/>
    <w:rsid w:val="4A4B2CCE"/>
    <w:rsid w:val="4A69564B"/>
    <w:rsid w:val="4B856EF0"/>
    <w:rsid w:val="4BB73B85"/>
    <w:rsid w:val="4BF478AD"/>
    <w:rsid w:val="4BF50141"/>
    <w:rsid w:val="4C17384D"/>
    <w:rsid w:val="4C257A37"/>
    <w:rsid w:val="4CF5766A"/>
    <w:rsid w:val="4CF71E3A"/>
    <w:rsid w:val="4DF50B78"/>
    <w:rsid w:val="4E6938E7"/>
    <w:rsid w:val="4E701DC0"/>
    <w:rsid w:val="4F006719"/>
    <w:rsid w:val="4F2E489B"/>
    <w:rsid w:val="4F5166AD"/>
    <w:rsid w:val="4F5D25FD"/>
    <w:rsid w:val="4FB41D44"/>
    <w:rsid w:val="4FCC0E0D"/>
    <w:rsid w:val="50BF6E81"/>
    <w:rsid w:val="5119117C"/>
    <w:rsid w:val="513F080C"/>
    <w:rsid w:val="515317E5"/>
    <w:rsid w:val="515B13D4"/>
    <w:rsid w:val="520B1156"/>
    <w:rsid w:val="52324560"/>
    <w:rsid w:val="52485F28"/>
    <w:rsid w:val="52654DCD"/>
    <w:rsid w:val="5306542C"/>
    <w:rsid w:val="533662E6"/>
    <w:rsid w:val="53390376"/>
    <w:rsid w:val="534704F3"/>
    <w:rsid w:val="53746819"/>
    <w:rsid w:val="53940122"/>
    <w:rsid w:val="55107BC5"/>
    <w:rsid w:val="553813F1"/>
    <w:rsid w:val="55B81281"/>
    <w:rsid w:val="56493792"/>
    <w:rsid w:val="57D3597F"/>
    <w:rsid w:val="58A83ABB"/>
    <w:rsid w:val="597C103E"/>
    <w:rsid w:val="59BD150F"/>
    <w:rsid w:val="5A7E608A"/>
    <w:rsid w:val="5AE0581C"/>
    <w:rsid w:val="5B5B3DD2"/>
    <w:rsid w:val="5BE43388"/>
    <w:rsid w:val="5C233588"/>
    <w:rsid w:val="5CA75AA1"/>
    <w:rsid w:val="5CBC3478"/>
    <w:rsid w:val="5CD53D28"/>
    <w:rsid w:val="5CFE772B"/>
    <w:rsid w:val="5D2366CB"/>
    <w:rsid w:val="5D2E6280"/>
    <w:rsid w:val="5D3331A6"/>
    <w:rsid w:val="5DB91FED"/>
    <w:rsid w:val="5E0B0134"/>
    <w:rsid w:val="5E135BA1"/>
    <w:rsid w:val="5E1D1079"/>
    <w:rsid w:val="5EDA6373"/>
    <w:rsid w:val="5F0C00BF"/>
    <w:rsid w:val="5F400BBB"/>
    <w:rsid w:val="601F4136"/>
    <w:rsid w:val="6031773D"/>
    <w:rsid w:val="606D7C3D"/>
    <w:rsid w:val="60C45E60"/>
    <w:rsid w:val="618E773C"/>
    <w:rsid w:val="62123B3B"/>
    <w:rsid w:val="622D3D77"/>
    <w:rsid w:val="634A483E"/>
    <w:rsid w:val="63A76D6E"/>
    <w:rsid w:val="642B45E0"/>
    <w:rsid w:val="64604EAC"/>
    <w:rsid w:val="64740A1C"/>
    <w:rsid w:val="64DF79CD"/>
    <w:rsid w:val="66457796"/>
    <w:rsid w:val="6695111E"/>
    <w:rsid w:val="66A5387A"/>
    <w:rsid w:val="66BA5854"/>
    <w:rsid w:val="67656B1B"/>
    <w:rsid w:val="67AE419D"/>
    <w:rsid w:val="67B22635"/>
    <w:rsid w:val="68052CBF"/>
    <w:rsid w:val="683769EB"/>
    <w:rsid w:val="68BF6DF6"/>
    <w:rsid w:val="698C50B9"/>
    <w:rsid w:val="69D47128"/>
    <w:rsid w:val="6A6A67CF"/>
    <w:rsid w:val="6ADE7537"/>
    <w:rsid w:val="6B221B0E"/>
    <w:rsid w:val="6B506044"/>
    <w:rsid w:val="6C5067B1"/>
    <w:rsid w:val="6C7543E1"/>
    <w:rsid w:val="6C963B87"/>
    <w:rsid w:val="6C9F4DA0"/>
    <w:rsid w:val="6CA96079"/>
    <w:rsid w:val="6CAC1F8A"/>
    <w:rsid w:val="6CC81EA4"/>
    <w:rsid w:val="6D3756D1"/>
    <w:rsid w:val="6D37776E"/>
    <w:rsid w:val="6D3E293F"/>
    <w:rsid w:val="6DBD66CF"/>
    <w:rsid w:val="6EEE4B4A"/>
    <w:rsid w:val="6F782CCB"/>
    <w:rsid w:val="6FFC5967"/>
    <w:rsid w:val="701E297D"/>
    <w:rsid w:val="704838FD"/>
    <w:rsid w:val="709119F6"/>
    <w:rsid w:val="71F7318A"/>
    <w:rsid w:val="721A3870"/>
    <w:rsid w:val="72951E3C"/>
    <w:rsid w:val="72DB435C"/>
    <w:rsid w:val="739641CD"/>
    <w:rsid w:val="746335E0"/>
    <w:rsid w:val="74B1717B"/>
    <w:rsid w:val="74D13CD9"/>
    <w:rsid w:val="754C749B"/>
    <w:rsid w:val="75AB1C93"/>
    <w:rsid w:val="75DF2050"/>
    <w:rsid w:val="76013DC0"/>
    <w:rsid w:val="761B163F"/>
    <w:rsid w:val="76810114"/>
    <w:rsid w:val="76A5065C"/>
    <w:rsid w:val="76E41762"/>
    <w:rsid w:val="7717316E"/>
    <w:rsid w:val="77603777"/>
    <w:rsid w:val="77901BB9"/>
    <w:rsid w:val="77C7479C"/>
    <w:rsid w:val="77EC0C4E"/>
    <w:rsid w:val="78066149"/>
    <w:rsid w:val="786C31EE"/>
    <w:rsid w:val="788E3223"/>
    <w:rsid w:val="78E06AB0"/>
    <w:rsid w:val="791F1447"/>
    <w:rsid w:val="798E0318"/>
    <w:rsid w:val="7A630025"/>
    <w:rsid w:val="7AD93877"/>
    <w:rsid w:val="7B022D48"/>
    <w:rsid w:val="7BFC0690"/>
    <w:rsid w:val="7CC540BD"/>
    <w:rsid w:val="7CFB6C1C"/>
    <w:rsid w:val="7D162B61"/>
    <w:rsid w:val="7D277D65"/>
    <w:rsid w:val="7D423759"/>
    <w:rsid w:val="7D695F1A"/>
    <w:rsid w:val="7DD956AA"/>
    <w:rsid w:val="7E2D5B39"/>
    <w:rsid w:val="7E3239CA"/>
    <w:rsid w:val="7E9956EB"/>
    <w:rsid w:val="7ED160D1"/>
    <w:rsid w:val="7FDE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54"/>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3">
    <w:name w:val="heading 1"/>
    <w:basedOn w:val="1"/>
    <w:next w:val="1"/>
    <w:qFormat/>
    <w:uiPriority w:val="0"/>
    <w:pPr>
      <w:keepNext/>
      <w:keepLines/>
      <w:spacing w:line="360" w:lineRule="auto"/>
      <w:jc w:val="center"/>
      <w:outlineLvl w:val="0"/>
    </w:pPr>
    <w:rPr>
      <w:b/>
      <w:bCs/>
      <w:kern w:val="44"/>
      <w:sz w:val="44"/>
      <w:szCs w:val="44"/>
    </w:rPr>
  </w:style>
  <w:style w:type="paragraph" w:styleId="4">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toa heading"/>
    <w:basedOn w:val="1"/>
    <w:next w:val="1"/>
    <w:qFormat/>
    <w:uiPriority w:val="0"/>
    <w:pPr>
      <w:spacing w:before="120"/>
    </w:pPr>
    <w:rPr>
      <w:rFonts w:ascii="Cambria" w:hAnsi="Cambria"/>
      <w:sz w:val="24"/>
      <w:szCs w:val="20"/>
    </w:rPr>
  </w:style>
  <w:style w:type="paragraph" w:styleId="8">
    <w:name w:val="index 6"/>
    <w:basedOn w:val="1"/>
    <w:next w:val="1"/>
    <w:qFormat/>
    <w:uiPriority w:val="99"/>
    <w:pPr>
      <w:ind w:left="2100"/>
    </w:pPr>
  </w:style>
  <w:style w:type="paragraph" w:styleId="9">
    <w:name w:val="Body Text"/>
    <w:basedOn w:val="1"/>
    <w:next w:val="10"/>
    <w:qFormat/>
    <w:uiPriority w:val="99"/>
    <w:pPr>
      <w:numPr>
        <w:ilvl w:val="0"/>
        <w:numId w:val="1"/>
      </w:numPr>
      <w:tabs>
        <w:tab w:val="clear" w:pos="780"/>
      </w:tabs>
      <w:ind w:left="0" w:firstLine="0"/>
    </w:pPr>
    <w:rPr>
      <w:rFonts w:ascii="黑体" w:eastAsia="黑体"/>
      <w:sz w:val="22"/>
    </w:rPr>
  </w:style>
  <w:style w:type="paragraph" w:styleId="10">
    <w:name w:val="Date"/>
    <w:basedOn w:val="1"/>
    <w:next w:val="1"/>
    <w:qFormat/>
    <w:uiPriority w:val="0"/>
    <w:pPr>
      <w:ind w:left="100"/>
    </w:pPr>
    <w:rPr>
      <w:sz w:val="24"/>
      <w:szCs w:val="20"/>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0"/>
    <w:pPr>
      <w:ind w:left="840" w:leftChars="400"/>
    </w:pPr>
  </w:style>
  <w:style w:type="paragraph" w:styleId="13">
    <w:name w:val="Plain Text"/>
    <w:basedOn w:val="1"/>
    <w:next w:val="14"/>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style>
  <w:style w:type="paragraph" w:styleId="18">
    <w:name w:val="footnote text"/>
    <w:basedOn w:val="1"/>
    <w:semiHidden/>
    <w:unhideWhenUsed/>
    <w:qFormat/>
    <w:uiPriority w:val="99"/>
    <w:pPr>
      <w:snapToGrid w:val="0"/>
      <w:jc w:val="left"/>
    </w:pPr>
    <w:rPr>
      <w:sz w:val="18"/>
      <w:szCs w:val="18"/>
    </w:rPr>
  </w:style>
  <w:style w:type="paragraph" w:styleId="19">
    <w:name w:val="toc 2"/>
    <w:basedOn w:val="1"/>
    <w:next w:val="1"/>
    <w:qFormat/>
    <w:uiPriority w:val="0"/>
    <w:pPr>
      <w:ind w:left="420" w:leftChars="200"/>
    </w:pPr>
  </w:style>
  <w:style w:type="paragraph" w:styleId="20">
    <w:name w:val="Body Text 2"/>
    <w:basedOn w:val="1"/>
    <w:qFormat/>
    <w:uiPriority w:val="0"/>
    <w:pPr>
      <w:tabs>
        <w:tab w:val="left" w:pos="0"/>
      </w:tabs>
      <w:spacing w:line="400" w:lineRule="atLeast"/>
    </w:pPr>
    <w:rPr>
      <w:rFonts w:ascii="Arial" w:hAnsi="Arial"/>
      <w:color w:val="000000"/>
    </w:rPr>
  </w:style>
  <w:style w:type="paragraph" w:styleId="21">
    <w:name w:val="Normal (Web)"/>
    <w:basedOn w:val="1"/>
    <w:next w:val="22"/>
    <w:qFormat/>
    <w:uiPriority w:val="99"/>
    <w:pPr>
      <w:widowControl/>
      <w:jc w:val="left"/>
    </w:pPr>
    <w:rPr>
      <w:rFonts w:ascii="宋体" w:hAnsi="宋体" w:eastAsia="宋体" w:cs="宋体"/>
      <w:kern w:val="0"/>
      <w:sz w:val="24"/>
      <w:szCs w:val="24"/>
    </w:rPr>
  </w:style>
  <w:style w:type="paragraph" w:customStyle="1" w:styleId="22">
    <w:name w:val="toc 4"/>
    <w:next w:val="1"/>
    <w:qFormat/>
    <w:uiPriority w:val="0"/>
    <w:pPr>
      <w:wordWrap w:val="0"/>
      <w:ind w:left="1275"/>
      <w:jc w:val="both"/>
    </w:pPr>
    <w:rPr>
      <w:rFonts w:ascii="Times New Roman" w:hAnsi="Times New Roman" w:eastAsia="宋体" w:cs="Times New Roman"/>
      <w:sz w:val="21"/>
      <w:lang w:val="en-US" w:eastAsia="zh-CN" w:bidi="ar-SA"/>
    </w:rPr>
  </w:style>
  <w:style w:type="paragraph" w:styleId="23">
    <w:name w:val="Body Text First Indent 2"/>
    <w:basedOn w:val="11"/>
    <w:semiHidden/>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qFormat/>
    <w:uiPriority w:val="99"/>
    <w:rPr>
      <w:color w:val="0000FF"/>
      <w:u w:val="single"/>
    </w:rPr>
  </w:style>
  <w:style w:type="character" w:styleId="29">
    <w:name w:val="footnote reference"/>
    <w:basedOn w:val="26"/>
    <w:semiHidden/>
    <w:unhideWhenUsed/>
    <w:qFormat/>
    <w:uiPriority w:val="99"/>
    <w:rPr>
      <w:vertAlign w:val="superscript"/>
    </w:rPr>
  </w:style>
  <w:style w:type="character" w:styleId="30">
    <w:name w:val="HTML Sample"/>
    <w:basedOn w:val="26"/>
    <w:qFormat/>
    <w:uiPriority w:val="0"/>
    <w:rPr>
      <w:rFonts w:ascii="Courier New" w:hAnsi="Courier New"/>
    </w:rPr>
  </w:style>
  <w:style w:type="paragraph" w:customStyle="1" w:styleId="31">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32">
    <w:name w:val="_Style 2"/>
    <w:basedOn w:val="3"/>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33">
    <w:name w:val="文档正文"/>
    <w:basedOn w:val="6"/>
    <w:qFormat/>
    <w:uiPriority w:val="0"/>
    <w:pPr>
      <w:spacing w:line="360" w:lineRule="auto"/>
    </w:pPr>
    <w:rPr>
      <w:rFonts w:ascii="宋体" w:hAnsi="宋体"/>
      <w:b/>
      <w:bCs/>
    </w:rPr>
  </w:style>
  <w:style w:type="paragraph" w:customStyle="1" w:styleId="34">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35">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36">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7">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8">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9">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40">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41">
    <w:name w:val="图例"/>
    <w:basedOn w:val="1"/>
    <w:qFormat/>
    <w:uiPriority w:val="0"/>
    <w:pPr>
      <w:spacing w:before="120" w:beforeLines="0" w:after="120" w:afterLines="0" w:line="360" w:lineRule="auto"/>
      <w:jc w:val="center"/>
    </w:pPr>
    <w:rPr>
      <w:rFonts w:eastAsia="仿宋_GB2312"/>
      <w:b/>
      <w:sz w:val="24"/>
    </w:rPr>
  </w:style>
  <w:style w:type="paragraph" w:customStyle="1" w:styleId="42">
    <w:name w:val="WPS Plain"/>
    <w:qFormat/>
    <w:uiPriority w:val="0"/>
    <w:rPr>
      <w:rFonts w:ascii="Times New Roman" w:hAnsi="Times New Roman" w:eastAsia="宋体" w:cs="Times New Roman"/>
      <w:lang w:val="en-US" w:eastAsia="zh-CN" w:bidi="ar-SA"/>
    </w:rPr>
  </w:style>
  <w:style w:type="paragraph" w:customStyle="1" w:styleId="43">
    <w:name w:val="样式 左侧:  0 厘米 悬挂缩进: 2.5 字符"/>
    <w:basedOn w:val="1"/>
    <w:qFormat/>
    <w:uiPriority w:val="0"/>
    <w:pPr>
      <w:ind w:left="525" w:hanging="525" w:hangingChars="250"/>
    </w:pPr>
    <w:rPr>
      <w:szCs w:val="20"/>
    </w:rPr>
  </w:style>
  <w:style w:type="character" w:customStyle="1" w:styleId="44">
    <w:name w:val="font11"/>
    <w:basedOn w:val="26"/>
    <w:qFormat/>
    <w:uiPriority w:val="0"/>
    <w:rPr>
      <w:rFonts w:ascii="Calibri" w:hAnsi="Calibri" w:cs="Calibri"/>
      <w:color w:val="000000"/>
      <w:sz w:val="20"/>
      <w:szCs w:val="20"/>
      <w:u w:val="none"/>
    </w:rPr>
  </w:style>
  <w:style w:type="paragraph" w:customStyle="1" w:styleId="45">
    <w:name w:val="Normal"/>
    <w:qFormat/>
    <w:uiPriority w:val="0"/>
    <w:rPr>
      <w:rFonts w:ascii="Times New Roman" w:hAnsi="Times New Roman" w:eastAsia="Times New Roman" w:cs="Times New Roman"/>
      <w:sz w:val="24"/>
      <w:szCs w:val="24"/>
      <w:lang w:bidi="ar-SA"/>
    </w:rPr>
  </w:style>
  <w:style w:type="paragraph" w:customStyle="1" w:styleId="46">
    <w:name w:val="样式 样式 样式 左侧:  2 字符1 + 首行缩进:  2 字符1 + 首行缩进:  2 字符"/>
    <w:basedOn w:val="1"/>
    <w:qFormat/>
    <w:uiPriority w:val="0"/>
    <w:pPr>
      <w:widowControl/>
      <w:adjustRightInd w:val="0"/>
      <w:spacing w:before="60" w:after="120" w:line="440" w:lineRule="atLeast"/>
      <w:ind w:firstLine="480"/>
      <w:textAlignment w:val="baseline"/>
    </w:pPr>
    <w:rPr>
      <w:sz w:val="24"/>
    </w:rPr>
  </w:style>
  <w:style w:type="paragraph" w:customStyle="1" w:styleId="47">
    <w:name w:val="BodyText1I2"/>
    <w:basedOn w:val="48"/>
    <w:qFormat/>
    <w:uiPriority w:val="0"/>
    <w:pPr>
      <w:spacing w:after="0" w:afterLines="0" w:line="500" w:lineRule="exact"/>
      <w:ind w:left="0" w:leftChars="0" w:firstLine="420" w:firstLineChars="200"/>
      <w:jc w:val="both"/>
    </w:pPr>
    <w:rPr>
      <w:kern w:val="2"/>
      <w:sz w:val="21"/>
      <w:szCs w:val="24"/>
      <w:lang w:bidi="ar-SA"/>
    </w:rPr>
  </w:style>
  <w:style w:type="paragraph" w:customStyle="1" w:styleId="48">
    <w:name w:val="BodyTextIndent"/>
    <w:basedOn w:val="1"/>
    <w:qFormat/>
    <w:uiPriority w:val="0"/>
    <w:pPr>
      <w:widowControl/>
      <w:spacing w:after="120" w:afterLines="0" w:line="240" w:lineRule="auto"/>
      <w:ind w:left="420" w:leftChars="200"/>
      <w:jc w:val="both"/>
    </w:pPr>
    <w:rPr>
      <w:rFonts w:ascii="宋体" w:hAnsi="宋体" w:eastAsia="宋体" w:cs="宋体"/>
      <w:kern w:val="2"/>
      <w:sz w:val="21"/>
      <w:szCs w:val="22"/>
      <w:lang w:eastAsia="en-US" w:bidi="ar-SA"/>
    </w:rPr>
  </w:style>
  <w:style w:type="character" w:customStyle="1" w:styleId="49">
    <w:name w:val="font51"/>
    <w:basedOn w:val="26"/>
    <w:qFormat/>
    <w:uiPriority w:val="0"/>
    <w:rPr>
      <w:rFonts w:hint="eastAsia" w:ascii="宋体" w:hAnsi="宋体" w:eastAsia="宋体" w:cs="宋体"/>
      <w:color w:val="000000"/>
      <w:sz w:val="22"/>
      <w:szCs w:val="22"/>
      <w:u w:val="none"/>
    </w:rPr>
  </w:style>
  <w:style w:type="character" w:customStyle="1" w:styleId="50">
    <w:name w:val="font61"/>
    <w:basedOn w:val="26"/>
    <w:qFormat/>
    <w:uiPriority w:val="0"/>
    <w:rPr>
      <w:rFonts w:hint="eastAsia" w:ascii="宋体" w:hAnsi="宋体" w:eastAsia="宋体" w:cs="宋体"/>
      <w:color w:val="000000"/>
      <w:sz w:val="24"/>
      <w:szCs w:val="24"/>
      <w:u w:val="none"/>
    </w:rPr>
  </w:style>
  <w:style w:type="character" w:customStyle="1" w:styleId="51">
    <w:name w:val="font91"/>
    <w:basedOn w:val="26"/>
    <w:qFormat/>
    <w:uiPriority w:val="0"/>
    <w:rPr>
      <w:rFonts w:hint="default" w:ascii="Verdana" w:hAnsi="Verdana" w:cs="Verdana"/>
      <w:color w:val="000000"/>
      <w:sz w:val="24"/>
      <w:szCs w:val="24"/>
      <w:u w:val="none"/>
    </w:rPr>
  </w:style>
  <w:style w:type="character" w:customStyle="1" w:styleId="52">
    <w:name w:val="font31"/>
    <w:basedOn w:val="26"/>
    <w:qFormat/>
    <w:uiPriority w:val="0"/>
    <w:rPr>
      <w:rFonts w:hint="eastAsia" w:ascii="宋体" w:hAnsi="宋体" w:eastAsia="宋体" w:cs="宋体"/>
      <w:color w:val="000000"/>
      <w:sz w:val="21"/>
      <w:szCs w:val="21"/>
      <w:u w:val="none"/>
    </w:rPr>
  </w:style>
  <w:style w:type="character" w:customStyle="1" w:styleId="53">
    <w:name w:val="font01"/>
    <w:basedOn w:val="26"/>
    <w:qFormat/>
    <w:uiPriority w:val="0"/>
    <w:rPr>
      <w:rFonts w:hint="eastAsia" w:ascii="宋体" w:hAnsi="宋体" w:eastAsia="宋体" w:cs="宋体"/>
      <w:color w:val="000000"/>
      <w:sz w:val="22"/>
      <w:szCs w:val="22"/>
      <w:u w:val="none"/>
    </w:rPr>
  </w:style>
  <w:style w:type="character" w:customStyle="1" w:styleId="54">
    <w:name w:val="NormalCharacter"/>
    <w:link w:val="1"/>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48662</Words>
  <Characters>52352</Characters>
  <Lines>0</Lines>
  <Paragraphs>0</Paragraphs>
  <TotalTime>3</TotalTime>
  <ScaleCrop>false</ScaleCrop>
  <LinksUpToDate>false</LinksUpToDate>
  <CharactersWithSpaces>56298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尘埃里点、开不出爱情的花</cp:lastModifiedBy>
  <cp:lastPrinted>2022-09-05T04:29:00Z</cp:lastPrinted>
  <dcterms:modified xsi:type="dcterms:W3CDTF">2022-10-09T07:25:53Z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DEC63E6696464C9394C13ADC17C5580A</vt:lpwstr>
  </property>
</Properties>
</file>